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663" w:rsidRPr="00C94663" w:rsidRDefault="00C94663" w:rsidP="00C94663">
      <w:pPr>
        <w:spacing w:before="480"/>
        <w:jc w:val="both"/>
        <w:rPr>
          <w:rFonts w:ascii="Arial" w:hAnsi="Arial" w:cs="Arial"/>
        </w:rPr>
      </w:pPr>
      <w:r w:rsidRPr="00C94663">
        <w:rPr>
          <w:rFonts w:ascii="Arial" w:hAnsi="Arial" w:cs="Arial"/>
          <w:u w:val="single"/>
        </w:rPr>
        <w:t>Objet</w:t>
      </w:r>
      <w:r w:rsidRPr="00C94663">
        <w:rPr>
          <w:rFonts w:ascii="Arial" w:hAnsi="Arial" w:cs="Arial"/>
        </w:rPr>
        <w:t> : le présent formulaire vise à identifier le niveau de prise en compte des exigences d’accréditation dans le fonctionnement du demandeur. Il permet au Cofrac de conclure sur l’opportunité de déclencher l’évaluation sur site du demandeur.</w:t>
      </w:r>
    </w:p>
    <w:p w:rsidR="00C94663" w:rsidRPr="00C94663" w:rsidRDefault="00C94663" w:rsidP="00C94663">
      <w:pPr>
        <w:spacing w:before="240"/>
        <w:jc w:val="both"/>
        <w:rPr>
          <w:rFonts w:ascii="Arial" w:hAnsi="Arial" w:cs="Arial"/>
        </w:rPr>
      </w:pPr>
      <w:r w:rsidRPr="00C94663">
        <w:rPr>
          <w:rFonts w:ascii="Arial" w:hAnsi="Arial" w:cs="Arial"/>
        </w:rPr>
        <w:t xml:space="preserve">Il est exigible pour toute demande d’accréditation pour un nouveau référentiel d’accréditation, et est alors joint à la demande d’accréditation exprimée sur le formulaire </w:t>
      </w:r>
      <w:r w:rsidRPr="00C94663">
        <w:rPr>
          <w:rFonts w:ascii="Arial" w:hAnsi="Arial" w:cs="Arial"/>
          <w:b/>
        </w:rPr>
        <w:t>LAB FORM 05</w:t>
      </w:r>
      <w:r w:rsidRPr="00C94663">
        <w:rPr>
          <w:rFonts w:ascii="Arial" w:hAnsi="Arial" w:cs="Arial"/>
        </w:rPr>
        <w:t>.</w:t>
      </w:r>
    </w:p>
    <w:p w:rsidR="00C94663" w:rsidRPr="00C94663" w:rsidRDefault="00C94663" w:rsidP="00C94663">
      <w:pPr>
        <w:spacing w:before="240"/>
        <w:jc w:val="both"/>
        <w:rPr>
          <w:rFonts w:ascii="Arial" w:hAnsi="Arial" w:cs="Arial"/>
        </w:rPr>
      </w:pPr>
      <w:r w:rsidRPr="00C94663">
        <w:rPr>
          <w:rFonts w:ascii="Arial" w:hAnsi="Arial" w:cs="Arial"/>
        </w:rPr>
        <w:t>Pour rappel, le demandeur s’expose à sanction s’il produit de fausses informations.</w:t>
      </w:r>
    </w:p>
    <w:p w:rsidR="00C94663" w:rsidRDefault="00C94663" w:rsidP="00C94663">
      <w:pPr>
        <w:spacing w:before="240" w:after="480"/>
        <w:rPr>
          <w:rFonts w:ascii="Arial" w:hAnsi="Arial" w:cs="Arial"/>
        </w:rPr>
      </w:pPr>
      <w:r w:rsidRPr="00C94663">
        <w:rPr>
          <w:rFonts w:ascii="Arial" w:hAnsi="Arial" w:cs="Arial"/>
        </w:rPr>
        <w:t>Ce formulaire complète la demande d’accréditation formulée par</w:t>
      </w:r>
      <w:r w:rsidRPr="00C94663">
        <w:rPr>
          <w:rFonts w:ascii="Arial" w:hAnsi="Arial" w:cs="Arial"/>
          <w:vertAlign w:val="superscript"/>
        </w:rPr>
        <w:footnoteReference w:id="1"/>
      </w:r>
      <w:r w:rsidRPr="00C94663">
        <w:rPr>
          <w:rFonts w:ascii="Arial" w:hAnsi="Arial" w:cs="Arial"/>
        </w:rPr>
        <w:t> :</w:t>
      </w:r>
    </w:p>
    <w:tbl>
      <w:tblPr>
        <w:tblStyle w:val="Grilledutableau"/>
        <w:tblW w:w="0" w:type="auto"/>
        <w:tblInd w:w="38" w:type="dxa"/>
        <w:tblLook w:val="04A0" w:firstRow="1" w:lastRow="0" w:firstColumn="1" w:lastColumn="0" w:noHBand="0" w:noVBand="1"/>
      </w:tblPr>
      <w:tblGrid>
        <w:gridCol w:w="10912"/>
      </w:tblGrid>
      <w:tr w:rsidR="00070266" w:rsidTr="00070266">
        <w:tc>
          <w:tcPr>
            <w:tcW w:w="10912" w:type="dxa"/>
          </w:tcPr>
          <w:p w:rsidR="00070266" w:rsidRDefault="00070266" w:rsidP="00C94663">
            <w:pPr>
              <w:spacing w:before="240" w:after="480"/>
              <w:rPr>
                <w:rFonts w:ascii="Arial" w:hAnsi="Arial" w:cs="Arial"/>
              </w:rPr>
            </w:pPr>
          </w:p>
        </w:tc>
      </w:tr>
    </w:tbl>
    <w:p w:rsidR="00C94663" w:rsidRPr="00C94663" w:rsidRDefault="00C94663" w:rsidP="00C94663">
      <w:pPr>
        <w:spacing w:before="480"/>
        <w:jc w:val="both"/>
        <w:rPr>
          <w:rFonts w:ascii="Arial" w:hAnsi="Arial"/>
        </w:rPr>
      </w:pPr>
      <w:r w:rsidRPr="00C94663">
        <w:rPr>
          <w:rFonts w:ascii="Arial" w:hAnsi="Arial"/>
        </w:rPr>
        <w:t xml:space="preserve">La table suivante se réfère à la norme </w:t>
      </w:r>
      <w:r w:rsidRPr="00C94663">
        <w:rPr>
          <w:rFonts w:ascii="Arial" w:hAnsi="Arial"/>
          <w:b/>
        </w:rPr>
        <w:t xml:space="preserve">NF EN ISO </w:t>
      </w:r>
      <w:proofErr w:type="gramStart"/>
      <w:r w:rsidRPr="00C94663">
        <w:rPr>
          <w:rFonts w:ascii="Arial" w:hAnsi="Arial"/>
          <w:b/>
        </w:rPr>
        <w:t>17034:</w:t>
      </w:r>
      <w:proofErr w:type="gramEnd"/>
      <w:r w:rsidRPr="00C94663">
        <w:rPr>
          <w:rFonts w:ascii="Arial" w:hAnsi="Arial"/>
          <w:b/>
        </w:rPr>
        <w:t>2016</w:t>
      </w:r>
      <w:r w:rsidRPr="00C94663">
        <w:rPr>
          <w:rFonts w:ascii="Arial" w:hAnsi="Arial"/>
        </w:rPr>
        <w:t xml:space="preserve"> et au document Cofrac </w:t>
      </w:r>
      <w:r w:rsidRPr="00C94663">
        <w:rPr>
          <w:rFonts w:ascii="Arial" w:hAnsi="Arial"/>
          <w:b/>
        </w:rPr>
        <w:t>LAB MR</w:t>
      </w:r>
      <w:r w:rsidR="00070266">
        <w:rPr>
          <w:rFonts w:ascii="Arial" w:hAnsi="Arial"/>
          <w:b/>
        </w:rPr>
        <w:t> </w:t>
      </w:r>
      <w:r w:rsidRPr="00C94663">
        <w:rPr>
          <w:rFonts w:ascii="Arial" w:hAnsi="Arial"/>
          <w:b/>
        </w:rPr>
        <w:t>REF</w:t>
      </w:r>
      <w:r w:rsidR="00853CB9">
        <w:rPr>
          <w:rFonts w:ascii="Arial" w:hAnsi="Arial"/>
          <w:b/>
        </w:rPr>
        <w:t> </w:t>
      </w:r>
      <w:r w:rsidRPr="00C94663">
        <w:rPr>
          <w:rFonts w:ascii="Arial" w:hAnsi="Arial"/>
          <w:b/>
        </w:rPr>
        <w:t>02</w:t>
      </w:r>
      <w:r w:rsidRPr="00C94663">
        <w:rPr>
          <w:rFonts w:ascii="Arial" w:hAnsi="Arial"/>
        </w:rPr>
        <w:t xml:space="preserve"> associé. </w:t>
      </w:r>
    </w:p>
    <w:p w:rsidR="00C94663" w:rsidRPr="00C94663" w:rsidRDefault="00C94663" w:rsidP="00C94663">
      <w:pPr>
        <w:spacing w:before="240"/>
        <w:rPr>
          <w:rFonts w:ascii="Arial" w:hAnsi="Arial" w:cs="Arial"/>
          <w:b/>
        </w:rPr>
      </w:pPr>
      <w:r w:rsidRPr="00C94663">
        <w:rPr>
          <w:rFonts w:ascii="Arial" w:hAnsi="Arial"/>
        </w:rPr>
        <w:t>Deux réponses aux questions (</w:t>
      </w:r>
      <w:r w:rsidRPr="00C94663">
        <w:rPr>
          <w:rFonts w:ascii="Arial" w:hAnsi="Arial" w:cs="Arial"/>
          <w:b/>
        </w:rPr>
        <w:t>O</w:t>
      </w:r>
      <w:r w:rsidRPr="00C94663">
        <w:rPr>
          <w:rFonts w:ascii="Arial" w:hAnsi="Arial" w:cs="Arial"/>
        </w:rPr>
        <w:t xml:space="preserve">ui ou </w:t>
      </w:r>
      <w:r w:rsidRPr="00C94663">
        <w:rPr>
          <w:rFonts w:ascii="Arial" w:hAnsi="Arial" w:cs="Arial"/>
          <w:b/>
        </w:rPr>
        <w:t>N</w:t>
      </w:r>
      <w:r w:rsidRPr="00C94663">
        <w:rPr>
          <w:rFonts w:ascii="Arial" w:hAnsi="Arial" w:cs="Arial"/>
        </w:rPr>
        <w:t>on</w:t>
      </w:r>
      <w:r w:rsidRPr="00C94663">
        <w:rPr>
          <w:rFonts w:ascii="Arial" w:hAnsi="Arial"/>
        </w:rPr>
        <w:t>) sont proposées selon les thématiques.</w:t>
      </w:r>
    </w:p>
    <w:p w:rsidR="00C94663" w:rsidRPr="00C94663" w:rsidRDefault="00C94663" w:rsidP="00C94663">
      <w:pPr>
        <w:spacing w:before="240"/>
        <w:jc w:val="both"/>
        <w:rPr>
          <w:rFonts w:ascii="Arial" w:hAnsi="Arial" w:cs="Arial"/>
        </w:rPr>
      </w:pPr>
      <w:r w:rsidRPr="00C94663">
        <w:rPr>
          <w:rFonts w:ascii="Arial" w:hAnsi="Arial" w:cs="Arial"/>
        </w:rPr>
        <w:t xml:space="preserve">Dans la colonne « Appli », indiquer si </w:t>
      </w:r>
      <w:r w:rsidRPr="00C94663">
        <w:rPr>
          <w:rFonts w:ascii="Arial" w:hAnsi="Arial" w:cs="Arial"/>
          <w:b/>
        </w:rPr>
        <w:t>O</w:t>
      </w:r>
      <w:r w:rsidRPr="00C94663">
        <w:rPr>
          <w:rFonts w:ascii="Arial" w:hAnsi="Arial" w:cs="Arial"/>
        </w:rPr>
        <w:t xml:space="preserve">ui ou </w:t>
      </w:r>
      <w:r w:rsidRPr="00C94663">
        <w:rPr>
          <w:rFonts w:ascii="Arial" w:hAnsi="Arial" w:cs="Arial"/>
          <w:b/>
        </w:rPr>
        <w:t>N</w:t>
      </w:r>
      <w:r w:rsidRPr="00C94663">
        <w:rPr>
          <w:rFonts w:ascii="Arial" w:hAnsi="Arial" w:cs="Arial"/>
        </w:rPr>
        <w:t xml:space="preserve">on l’organisme a déjà mis en œuvre des dispositions et est en mesure de le démontrer. </w:t>
      </w:r>
    </w:p>
    <w:p w:rsidR="00C94663" w:rsidRPr="00C94663" w:rsidRDefault="00C94663" w:rsidP="00C94663">
      <w:pPr>
        <w:jc w:val="both"/>
        <w:rPr>
          <w:rFonts w:ascii="Arial" w:hAnsi="Arial" w:cs="Arial"/>
          <w:sz w:val="22"/>
          <w:szCs w:val="22"/>
        </w:rPr>
      </w:pPr>
    </w:p>
    <w:p w:rsidR="00C94663" w:rsidRPr="00C94663" w:rsidRDefault="00C94663" w:rsidP="00C94663">
      <w:pPr>
        <w:rPr>
          <w:rFonts w:ascii="Arial" w:hAnsi="Arial" w:cs="Arial"/>
          <w:sz w:val="22"/>
          <w:szCs w:val="22"/>
        </w:rPr>
      </w:pPr>
    </w:p>
    <w:p w:rsidR="00C94663" w:rsidRPr="00C94663" w:rsidRDefault="00C94663" w:rsidP="00C94663">
      <w:pPr>
        <w:rPr>
          <w:rFonts w:ascii="Arial" w:hAnsi="Arial" w:cs="Arial"/>
          <w:sz w:val="22"/>
          <w:szCs w:val="22"/>
        </w:rPr>
      </w:pPr>
    </w:p>
    <w:p w:rsidR="00C94663" w:rsidRPr="00C94663" w:rsidRDefault="00C94663" w:rsidP="00C94663">
      <w:pPr>
        <w:rPr>
          <w:rFonts w:ascii="Arial" w:hAnsi="Arial" w:cs="Arial"/>
          <w:sz w:val="22"/>
          <w:szCs w:val="22"/>
        </w:rPr>
      </w:pPr>
    </w:p>
    <w:p w:rsidR="00C94663" w:rsidRPr="00C94663" w:rsidRDefault="00C94663" w:rsidP="00C94663">
      <w:pPr>
        <w:rPr>
          <w:rFonts w:ascii="Arial" w:hAnsi="Arial" w:cs="Arial"/>
          <w:sz w:val="22"/>
          <w:szCs w:val="22"/>
        </w:rPr>
      </w:pPr>
    </w:p>
    <w:p w:rsidR="00C94663" w:rsidRPr="00C94663" w:rsidRDefault="00C94663" w:rsidP="00C94663">
      <w:pPr>
        <w:rPr>
          <w:rFonts w:ascii="Arial" w:hAnsi="Arial" w:cs="Arial"/>
          <w:sz w:val="22"/>
          <w:szCs w:val="22"/>
        </w:rPr>
      </w:pPr>
      <w:r w:rsidRPr="00C94663">
        <w:rPr>
          <w:rFonts w:ascii="Arial" w:hAnsi="Arial" w:cs="Arial"/>
          <w:sz w:val="22"/>
          <w:szCs w:val="22"/>
        </w:rPr>
        <w:br w:type="page"/>
      </w:r>
    </w:p>
    <w:tbl>
      <w:tblPr>
        <w:tblpPr w:leftFromText="141" w:rightFromText="141" w:vertAnchor="text" w:horzAnchor="margin" w:tblpXSpec="center" w:tblpY="177"/>
        <w:tblW w:w="10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FFFFFF" w:themeFill="background1"/>
        <w:tblLayout w:type="fixed"/>
        <w:tblLook w:val="0460" w:firstRow="1" w:lastRow="1" w:firstColumn="0" w:lastColumn="0" w:noHBand="0" w:noVBand="1"/>
      </w:tblPr>
      <w:tblGrid>
        <w:gridCol w:w="7760"/>
        <w:gridCol w:w="146"/>
        <w:gridCol w:w="24"/>
        <w:gridCol w:w="1393"/>
        <w:gridCol w:w="1512"/>
        <w:gridCol w:w="6"/>
      </w:tblGrid>
      <w:tr w:rsidR="00C94663" w:rsidRPr="00C94663" w:rsidTr="00F512A6">
        <w:trPr>
          <w:cantSplit/>
          <w:trHeight w:val="680"/>
          <w:tblHeader/>
        </w:trPr>
        <w:tc>
          <w:tcPr>
            <w:tcW w:w="7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663" w:rsidRPr="00C94663" w:rsidRDefault="00C94663" w:rsidP="00C94663">
            <w:pPr>
              <w:ind w:right="-142"/>
              <w:jc w:val="center"/>
              <w:rPr>
                <w:rFonts w:ascii="Arial" w:hAnsi="Arial" w:cs="Arial"/>
                <w:b/>
                <w:sz w:val="22"/>
                <w:szCs w:val="22"/>
              </w:rPr>
            </w:pPr>
            <w:r w:rsidRPr="00C94663">
              <w:rPr>
                <w:rFonts w:ascii="Arial" w:hAnsi="Arial" w:cs="Arial"/>
                <w:b/>
                <w:sz w:val="22"/>
                <w:szCs w:val="22"/>
              </w:rPr>
              <w:lastRenderedPageBreak/>
              <w:t xml:space="preserve">Exigences de la norme et du document LAB MR REF 02 </w:t>
            </w:r>
            <w:r w:rsidRPr="00C94663">
              <w:rPr>
                <w:rFonts w:ascii="Arial" w:hAnsi="Arial" w:cs="Arial"/>
                <w:b/>
                <w:sz w:val="22"/>
                <w:szCs w:val="22"/>
              </w:rPr>
              <w:br/>
              <w:t>à considérer</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663" w:rsidRPr="00C94663" w:rsidRDefault="00C94663" w:rsidP="00C94663">
            <w:pPr>
              <w:jc w:val="center"/>
              <w:rPr>
                <w:rFonts w:ascii="Arial" w:hAnsi="Arial" w:cs="Arial"/>
                <w:b/>
                <w:sz w:val="22"/>
                <w:szCs w:val="22"/>
              </w:rPr>
            </w:pPr>
            <w:r w:rsidRPr="00C94663">
              <w:rPr>
                <w:rFonts w:ascii="Arial" w:hAnsi="Arial" w:cs="Arial"/>
                <w:b/>
                <w:sz w:val="22"/>
                <w:szCs w:val="22"/>
              </w:rPr>
              <w:t>O/N</w:t>
            </w: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663" w:rsidRPr="00C94663" w:rsidRDefault="00C94663" w:rsidP="00C94663">
            <w:pPr>
              <w:jc w:val="center"/>
              <w:rPr>
                <w:rFonts w:ascii="Arial" w:hAnsi="Arial" w:cs="Arial"/>
                <w:b/>
                <w:sz w:val="22"/>
                <w:szCs w:val="22"/>
              </w:rPr>
            </w:pPr>
            <w:r w:rsidRPr="00C94663">
              <w:rPr>
                <w:rFonts w:ascii="Arial" w:hAnsi="Arial" w:cs="Arial"/>
                <w:b/>
                <w:sz w:val="22"/>
                <w:szCs w:val="22"/>
              </w:rPr>
              <w:t>Application</w:t>
            </w:r>
          </w:p>
          <w:p w:rsidR="00C94663" w:rsidRPr="00C94663" w:rsidRDefault="00C94663" w:rsidP="00C94663">
            <w:pPr>
              <w:jc w:val="center"/>
              <w:rPr>
                <w:rFonts w:ascii="Arial" w:hAnsi="Arial" w:cs="Arial"/>
                <w:b/>
                <w:sz w:val="22"/>
                <w:szCs w:val="22"/>
              </w:rPr>
            </w:pPr>
            <w:r w:rsidRPr="00C94663">
              <w:rPr>
                <w:rFonts w:ascii="Arial" w:hAnsi="Arial" w:cs="Arial"/>
                <w:b/>
                <w:sz w:val="22"/>
                <w:szCs w:val="22"/>
              </w:rPr>
              <w:t>O/N</w:t>
            </w:r>
          </w:p>
        </w:tc>
      </w:tr>
      <w:tr w:rsidR="00C94663"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94663" w:rsidRPr="00C94663" w:rsidRDefault="00C94663" w:rsidP="00C94663">
            <w:pPr>
              <w:ind w:right="-142"/>
              <w:jc w:val="both"/>
              <w:rPr>
                <w:rFonts w:ascii="Arial" w:hAnsi="Arial" w:cs="Arial"/>
                <w:sz w:val="22"/>
                <w:szCs w:val="22"/>
              </w:rPr>
            </w:pPr>
            <w:r w:rsidRPr="00C94663">
              <w:rPr>
                <w:rFonts w:ascii="Arial" w:hAnsi="Arial" w:cs="Arial"/>
                <w:b/>
                <w:sz w:val="22"/>
                <w:szCs w:val="22"/>
              </w:rPr>
              <w:t>Exigences générales (NF EN ISO 17034 - § 4)</w:t>
            </w:r>
          </w:p>
        </w:tc>
      </w:tr>
      <w:tr w:rsidR="00C94663" w:rsidRPr="00C94663" w:rsidTr="00F512A6">
        <w:trPr>
          <w:cantSplit/>
          <w:trHeight w:val="397"/>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C94663" w:rsidRPr="00C94663" w:rsidRDefault="00C94663" w:rsidP="00C94663">
            <w:pPr>
              <w:ind w:right="-142"/>
              <w:jc w:val="both"/>
              <w:rPr>
                <w:rFonts w:ascii="Arial" w:hAnsi="Arial" w:cs="Arial"/>
                <w:b/>
                <w:i/>
                <w:sz w:val="20"/>
                <w:szCs w:val="20"/>
              </w:rPr>
            </w:pPr>
            <w:r w:rsidRPr="00C94663">
              <w:rPr>
                <w:rFonts w:ascii="Arial" w:hAnsi="Arial" w:cs="Arial"/>
                <w:b/>
                <w:bCs/>
                <w:i/>
                <w:sz w:val="20"/>
                <w:szCs w:val="20"/>
              </w:rPr>
              <w:t>Domaine contractuel (</w:t>
            </w:r>
            <w:r w:rsidRPr="00C94663">
              <w:rPr>
                <w:rFonts w:ascii="Arial" w:hAnsi="Arial" w:cs="Arial"/>
                <w:b/>
                <w:i/>
                <w:sz w:val="20"/>
                <w:szCs w:val="20"/>
              </w:rPr>
              <w:t>§ 4.1)</w:t>
            </w:r>
          </w:p>
        </w:tc>
      </w:tr>
      <w:tr w:rsidR="00C94663" w:rsidRPr="00C94663" w:rsidTr="00F512A6">
        <w:trPr>
          <w:cantSplit/>
          <w:trHeight w:val="567"/>
        </w:trPr>
        <w:tc>
          <w:tcPr>
            <w:tcW w:w="79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94663" w:rsidRPr="00C94663" w:rsidRDefault="00C94663" w:rsidP="00C94663">
            <w:pPr>
              <w:jc w:val="both"/>
              <w:rPr>
                <w:rFonts w:ascii="Arial" w:hAnsi="Arial" w:cs="Arial"/>
                <w:sz w:val="20"/>
                <w:szCs w:val="20"/>
              </w:rPr>
            </w:pPr>
            <w:r w:rsidRPr="00C94663">
              <w:rPr>
                <w:rFonts w:ascii="Arial" w:hAnsi="Arial" w:cs="Arial"/>
                <w:sz w:val="20"/>
                <w:szCs w:val="20"/>
              </w:rPr>
              <w:t>Le PMR a-t-il mis en place des procédures pour la revue des demandes, des appels d’offres ou des contrats relatifs à la production d’un MR ?</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663" w:rsidRPr="00C94663" w:rsidRDefault="00C94663" w:rsidP="00C94663">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663" w:rsidRPr="00C94663" w:rsidRDefault="00C94663" w:rsidP="00C94663">
            <w:pPr>
              <w:ind w:left="-58" w:right="-142"/>
              <w:jc w:val="center"/>
              <w:rPr>
                <w:rFonts w:ascii="Arial" w:hAnsi="Arial" w:cs="Arial"/>
                <w:sz w:val="20"/>
                <w:szCs w:val="20"/>
              </w:rPr>
            </w:pPr>
          </w:p>
        </w:tc>
      </w:tr>
      <w:tr w:rsidR="00C94663" w:rsidRPr="00C94663" w:rsidTr="00F512A6">
        <w:trPr>
          <w:cantSplit/>
          <w:trHeight w:val="397"/>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C94663" w:rsidRPr="00C94663" w:rsidRDefault="00C94663" w:rsidP="00C94663">
            <w:pPr>
              <w:ind w:right="-142"/>
              <w:jc w:val="both"/>
              <w:rPr>
                <w:rFonts w:ascii="Arial" w:hAnsi="Arial" w:cs="Arial"/>
                <w:b/>
                <w:bCs/>
                <w:i/>
                <w:sz w:val="20"/>
                <w:szCs w:val="20"/>
              </w:rPr>
            </w:pPr>
            <w:r w:rsidRPr="00C94663">
              <w:rPr>
                <w:rFonts w:ascii="Arial" w:hAnsi="Arial" w:cs="Arial"/>
                <w:b/>
                <w:bCs/>
                <w:i/>
                <w:sz w:val="20"/>
                <w:szCs w:val="20"/>
              </w:rPr>
              <w:t>Impartialité (§ 4.2)</w:t>
            </w:r>
          </w:p>
        </w:tc>
      </w:tr>
      <w:tr w:rsidR="00C94663" w:rsidRPr="00C94663" w:rsidTr="00F512A6">
        <w:trPr>
          <w:cantSplit/>
          <w:trHeight w:val="794"/>
        </w:trPr>
        <w:tc>
          <w:tcPr>
            <w:tcW w:w="79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94663" w:rsidRPr="00C94663" w:rsidRDefault="00C94663" w:rsidP="00C94663">
            <w:pPr>
              <w:jc w:val="both"/>
              <w:rPr>
                <w:rFonts w:ascii="Arial" w:hAnsi="Arial" w:cs="Arial"/>
                <w:sz w:val="20"/>
                <w:szCs w:val="20"/>
              </w:rPr>
            </w:pPr>
            <w:r w:rsidRPr="00C94663">
              <w:rPr>
                <w:rFonts w:ascii="Arial" w:hAnsi="Arial" w:cs="Arial"/>
                <w:sz w:val="20"/>
                <w:szCs w:val="20"/>
              </w:rPr>
              <w:t>Existe-t-il des dispositions visant à assurer que l’organisme exerce ses activités en toute impartialité et que les risques susceptibles de porter atteinte à cette dernière sont régulièrement identifiés ?</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663" w:rsidRPr="00C94663" w:rsidRDefault="00C94663" w:rsidP="00C94663">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663" w:rsidRPr="00C94663" w:rsidRDefault="00C94663" w:rsidP="00C94663">
            <w:pPr>
              <w:ind w:left="-58" w:right="-142"/>
              <w:jc w:val="center"/>
              <w:rPr>
                <w:rFonts w:ascii="Arial" w:hAnsi="Arial" w:cs="Arial"/>
                <w:sz w:val="20"/>
                <w:szCs w:val="20"/>
              </w:rPr>
            </w:pPr>
          </w:p>
        </w:tc>
      </w:tr>
      <w:tr w:rsidR="00C94663" w:rsidRPr="00C94663" w:rsidTr="00F512A6">
        <w:trPr>
          <w:cantSplit/>
          <w:trHeight w:val="397"/>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C94663" w:rsidRPr="00C94663" w:rsidRDefault="00C94663" w:rsidP="00C94663">
            <w:pPr>
              <w:ind w:right="-142"/>
              <w:jc w:val="both"/>
              <w:rPr>
                <w:rFonts w:ascii="Arial" w:hAnsi="Arial" w:cs="Arial"/>
                <w:b/>
                <w:bCs/>
                <w:i/>
                <w:sz w:val="20"/>
                <w:szCs w:val="20"/>
              </w:rPr>
            </w:pPr>
            <w:r w:rsidRPr="00C94663">
              <w:rPr>
                <w:rFonts w:ascii="Arial" w:hAnsi="Arial" w:cs="Arial"/>
                <w:b/>
                <w:bCs/>
                <w:i/>
                <w:sz w:val="20"/>
                <w:szCs w:val="20"/>
              </w:rPr>
              <w:t>Confidentialité (§ 4.3)</w:t>
            </w:r>
          </w:p>
        </w:tc>
      </w:tr>
      <w:tr w:rsidR="00C94663" w:rsidRPr="00C94663" w:rsidTr="00F512A6">
        <w:trPr>
          <w:cantSplit/>
          <w:trHeight w:val="567"/>
        </w:trPr>
        <w:tc>
          <w:tcPr>
            <w:tcW w:w="79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94663" w:rsidRPr="00C94663" w:rsidRDefault="00C94663" w:rsidP="00C94663">
            <w:pPr>
              <w:jc w:val="both"/>
              <w:rPr>
                <w:rFonts w:ascii="Arial" w:hAnsi="Arial" w:cs="Arial"/>
                <w:sz w:val="20"/>
                <w:szCs w:val="20"/>
              </w:rPr>
            </w:pPr>
            <w:r w:rsidRPr="00C94663">
              <w:rPr>
                <w:rFonts w:ascii="Arial" w:hAnsi="Arial" w:cs="Arial"/>
                <w:sz w:val="20"/>
                <w:szCs w:val="20"/>
              </w:rPr>
              <w:t>L’organisme assure-il la confidentialité des informations générées au cours de la réalisation des activités de l’organisme ou toutes autres informations obtenues ?</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663" w:rsidRPr="00C94663" w:rsidRDefault="00C94663" w:rsidP="00C94663">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663" w:rsidRPr="00C94663" w:rsidRDefault="00C94663" w:rsidP="00C94663">
            <w:pPr>
              <w:ind w:left="-58" w:right="-142"/>
              <w:jc w:val="center"/>
              <w:rPr>
                <w:rFonts w:ascii="Arial" w:hAnsi="Arial" w:cs="Arial"/>
                <w:sz w:val="20"/>
                <w:szCs w:val="20"/>
              </w:rPr>
            </w:pPr>
          </w:p>
        </w:tc>
      </w:tr>
      <w:tr w:rsidR="00C94663"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94663" w:rsidRPr="00C94663" w:rsidRDefault="00C94663" w:rsidP="00C94663">
            <w:pPr>
              <w:ind w:right="-142"/>
              <w:jc w:val="both"/>
              <w:rPr>
                <w:rFonts w:ascii="Arial" w:hAnsi="Arial" w:cs="Arial"/>
                <w:sz w:val="22"/>
                <w:szCs w:val="22"/>
              </w:rPr>
            </w:pPr>
            <w:r w:rsidRPr="00C94663">
              <w:rPr>
                <w:rFonts w:ascii="Arial" w:hAnsi="Arial" w:cs="Arial"/>
                <w:b/>
                <w:sz w:val="22"/>
                <w:szCs w:val="22"/>
              </w:rPr>
              <w:t>Exigences structurelles (NF EN ISO 17034 - § 5)</w:t>
            </w:r>
          </w:p>
        </w:tc>
      </w:tr>
      <w:tr w:rsidR="00C94663" w:rsidRPr="00C94663" w:rsidTr="00F512A6">
        <w:trPr>
          <w:cantSplit/>
          <w:trHeight w:val="567"/>
        </w:trPr>
        <w:tc>
          <w:tcPr>
            <w:tcW w:w="79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94663" w:rsidRPr="00C94663" w:rsidRDefault="00C94663" w:rsidP="00C94663">
            <w:pPr>
              <w:jc w:val="both"/>
              <w:rPr>
                <w:rFonts w:ascii="Arial" w:hAnsi="Arial" w:cs="Arial"/>
                <w:sz w:val="20"/>
                <w:szCs w:val="20"/>
              </w:rPr>
            </w:pPr>
            <w:r w:rsidRPr="00C94663">
              <w:rPr>
                <w:rFonts w:ascii="Arial" w:hAnsi="Arial" w:cs="Arial"/>
                <w:sz w:val="20"/>
                <w:szCs w:val="20"/>
              </w:rPr>
              <w:t>Le PMR est-il une entité juridique, ou une partie définie d’une entité juridique, qui peut être tenue responsable de toutes ses activités liées à la production de MR ?</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663" w:rsidRPr="00C94663" w:rsidRDefault="00C94663" w:rsidP="00C94663">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663" w:rsidRPr="00C94663" w:rsidRDefault="00C94663" w:rsidP="00C94663">
            <w:pPr>
              <w:ind w:left="-58" w:right="-142"/>
              <w:jc w:val="center"/>
              <w:rPr>
                <w:rFonts w:ascii="Arial" w:hAnsi="Arial" w:cs="Arial"/>
                <w:sz w:val="20"/>
                <w:szCs w:val="20"/>
              </w:rPr>
            </w:pPr>
          </w:p>
        </w:tc>
      </w:tr>
      <w:tr w:rsidR="00C94663" w:rsidRPr="00C94663" w:rsidTr="00F512A6">
        <w:trPr>
          <w:cantSplit/>
          <w:trHeight w:val="794"/>
        </w:trPr>
        <w:tc>
          <w:tcPr>
            <w:tcW w:w="79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94663" w:rsidRPr="00C94663" w:rsidRDefault="00C94663" w:rsidP="00C94663">
            <w:pPr>
              <w:jc w:val="both"/>
              <w:rPr>
                <w:rFonts w:ascii="Arial" w:hAnsi="Arial" w:cs="Arial"/>
                <w:sz w:val="20"/>
                <w:szCs w:val="20"/>
              </w:rPr>
            </w:pPr>
            <w:r w:rsidRPr="00C94663">
              <w:rPr>
                <w:rFonts w:ascii="Arial" w:hAnsi="Arial" w:cs="Arial"/>
                <w:sz w:val="20"/>
                <w:szCs w:val="20"/>
              </w:rPr>
              <w:t>Le PMR a-t-il un encadrement technique ayant la responsabilité générale des opérations techniques et de la fourniture des ressources nécessaires pour assurer la qualité requise de chaque opération faisant partie de la production des MR ?</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663" w:rsidRPr="00C94663" w:rsidRDefault="00C94663" w:rsidP="00C94663">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663" w:rsidRPr="00C94663" w:rsidRDefault="00C94663" w:rsidP="00C94663">
            <w:pPr>
              <w:ind w:left="-58" w:right="-142"/>
              <w:jc w:val="center"/>
              <w:rPr>
                <w:rFonts w:ascii="Arial" w:hAnsi="Arial" w:cs="Arial"/>
                <w:sz w:val="20"/>
                <w:szCs w:val="20"/>
              </w:rPr>
            </w:pPr>
          </w:p>
        </w:tc>
      </w:tr>
      <w:tr w:rsidR="00C94663"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94663" w:rsidRPr="00C94663" w:rsidRDefault="00C94663" w:rsidP="00C94663">
            <w:pPr>
              <w:ind w:right="-142"/>
              <w:jc w:val="both"/>
              <w:rPr>
                <w:rFonts w:ascii="Arial" w:hAnsi="Arial" w:cs="Arial"/>
                <w:b/>
                <w:sz w:val="22"/>
                <w:szCs w:val="22"/>
              </w:rPr>
            </w:pPr>
            <w:r w:rsidRPr="00C94663">
              <w:rPr>
                <w:rFonts w:ascii="Arial" w:hAnsi="Arial" w:cs="Arial"/>
                <w:b/>
                <w:sz w:val="22"/>
                <w:szCs w:val="22"/>
              </w:rPr>
              <w:t>Exigences relatives aux ressources (NF EN ISO 17034 - § 6)</w:t>
            </w:r>
          </w:p>
        </w:tc>
      </w:tr>
      <w:tr w:rsidR="00C94663" w:rsidRPr="00C94663" w:rsidTr="00F512A6">
        <w:trPr>
          <w:cantSplit/>
          <w:trHeight w:val="397"/>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C94663" w:rsidRPr="00C94663" w:rsidRDefault="00C94663" w:rsidP="00C94663">
            <w:pPr>
              <w:ind w:right="-142"/>
              <w:jc w:val="both"/>
              <w:rPr>
                <w:rFonts w:ascii="Arial" w:hAnsi="Arial" w:cs="Arial"/>
                <w:b/>
                <w:bCs/>
                <w:i/>
                <w:sz w:val="20"/>
                <w:szCs w:val="20"/>
              </w:rPr>
            </w:pPr>
            <w:r w:rsidRPr="00C94663">
              <w:rPr>
                <w:rFonts w:ascii="Arial" w:hAnsi="Arial" w:cs="Arial"/>
                <w:b/>
                <w:bCs/>
                <w:i/>
                <w:sz w:val="20"/>
                <w:szCs w:val="20"/>
              </w:rPr>
              <w:t>Personnel (§ 6.1)</w:t>
            </w:r>
          </w:p>
        </w:tc>
      </w:tr>
      <w:tr w:rsidR="00C94663" w:rsidRPr="00C94663" w:rsidTr="00F512A6">
        <w:trPr>
          <w:cantSplit/>
          <w:trHeight w:val="567"/>
        </w:trPr>
        <w:tc>
          <w:tcPr>
            <w:tcW w:w="79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94663" w:rsidRPr="00C94663" w:rsidRDefault="00C94663" w:rsidP="00C94663">
            <w:pPr>
              <w:jc w:val="both"/>
              <w:rPr>
                <w:rFonts w:ascii="Arial" w:hAnsi="Arial" w:cs="Arial"/>
                <w:sz w:val="20"/>
                <w:szCs w:val="20"/>
              </w:rPr>
            </w:pPr>
            <w:r w:rsidRPr="00C94663">
              <w:rPr>
                <w:rFonts w:ascii="Arial" w:hAnsi="Arial" w:cs="Arial"/>
                <w:sz w:val="20"/>
                <w:szCs w:val="20"/>
              </w:rPr>
              <w:t>Le PMR tient-il à jour des descriptions de fonctions pour son personnel impliqué dans les activités de production de MR ?</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663" w:rsidRPr="00C94663" w:rsidRDefault="00C94663" w:rsidP="00C94663">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663" w:rsidRPr="00C94663" w:rsidRDefault="00C94663" w:rsidP="00C94663">
            <w:pPr>
              <w:ind w:left="-58" w:right="-142"/>
              <w:jc w:val="center"/>
              <w:rPr>
                <w:rFonts w:ascii="Arial" w:hAnsi="Arial" w:cs="Arial"/>
                <w:sz w:val="20"/>
                <w:szCs w:val="20"/>
              </w:rPr>
            </w:pPr>
          </w:p>
        </w:tc>
      </w:tr>
      <w:tr w:rsidR="00C94663" w:rsidRPr="00C94663" w:rsidTr="00F512A6">
        <w:trPr>
          <w:cantSplit/>
          <w:trHeight w:val="567"/>
        </w:trPr>
        <w:tc>
          <w:tcPr>
            <w:tcW w:w="79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94663" w:rsidRPr="00C94663" w:rsidRDefault="00C94663" w:rsidP="00C94663">
            <w:pPr>
              <w:jc w:val="both"/>
              <w:rPr>
                <w:rFonts w:ascii="Arial" w:hAnsi="Arial" w:cs="Arial"/>
                <w:sz w:val="20"/>
                <w:szCs w:val="20"/>
              </w:rPr>
            </w:pPr>
            <w:r w:rsidRPr="00C94663">
              <w:rPr>
                <w:rFonts w:ascii="Arial" w:hAnsi="Arial" w:cs="Arial"/>
                <w:sz w:val="20"/>
                <w:szCs w:val="20"/>
              </w:rPr>
              <w:t>Le PMR a-t-il des dispositions pour identifier les besoins en formation et assurer la formation du personnel ?</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663" w:rsidRPr="00C94663" w:rsidRDefault="00C94663" w:rsidP="00C94663">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663" w:rsidRPr="00C94663" w:rsidRDefault="00C94663" w:rsidP="00C94663">
            <w:pPr>
              <w:ind w:left="-58" w:right="-142"/>
              <w:jc w:val="center"/>
              <w:rPr>
                <w:rFonts w:ascii="Arial" w:hAnsi="Arial" w:cs="Arial"/>
                <w:sz w:val="20"/>
                <w:szCs w:val="20"/>
              </w:rPr>
            </w:pPr>
          </w:p>
        </w:tc>
      </w:tr>
      <w:tr w:rsidR="00C94663" w:rsidRPr="00C94663" w:rsidTr="00F512A6">
        <w:trPr>
          <w:cantSplit/>
          <w:trHeight w:val="567"/>
        </w:trPr>
        <w:tc>
          <w:tcPr>
            <w:tcW w:w="79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94663" w:rsidRPr="00C94663" w:rsidRDefault="00C94663" w:rsidP="00C94663">
            <w:pPr>
              <w:jc w:val="both"/>
              <w:rPr>
                <w:rFonts w:ascii="Arial" w:hAnsi="Arial" w:cs="Arial"/>
                <w:sz w:val="20"/>
                <w:szCs w:val="20"/>
              </w:rPr>
            </w:pPr>
            <w:r w:rsidRPr="00C94663">
              <w:rPr>
                <w:rFonts w:ascii="Arial" w:hAnsi="Arial" w:cs="Arial"/>
                <w:sz w:val="20"/>
                <w:szCs w:val="20"/>
              </w:rPr>
              <w:t>Le PMR s’assure-t-il de la compétence de tout le personnel impliqué dans les activités liées à la production de chaque type particulier de MR ?</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663" w:rsidRPr="00C94663" w:rsidRDefault="00C94663" w:rsidP="00C94663">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663" w:rsidRPr="00C94663" w:rsidRDefault="00C94663" w:rsidP="00C94663">
            <w:pPr>
              <w:ind w:left="-58" w:right="-142"/>
              <w:jc w:val="center"/>
              <w:rPr>
                <w:rFonts w:ascii="Arial" w:hAnsi="Arial" w:cs="Arial"/>
                <w:sz w:val="20"/>
                <w:szCs w:val="20"/>
              </w:rPr>
            </w:pPr>
          </w:p>
        </w:tc>
      </w:tr>
      <w:tr w:rsidR="00C94663" w:rsidRPr="00C94663" w:rsidTr="00F512A6">
        <w:trPr>
          <w:cantSplit/>
          <w:trHeight w:val="397"/>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C94663" w:rsidRPr="00C94663" w:rsidRDefault="00C94663" w:rsidP="00C94663">
            <w:pPr>
              <w:ind w:right="-142"/>
              <w:jc w:val="both"/>
              <w:rPr>
                <w:rFonts w:ascii="Arial" w:hAnsi="Arial" w:cs="Arial"/>
                <w:b/>
                <w:bCs/>
                <w:i/>
                <w:sz w:val="20"/>
                <w:szCs w:val="20"/>
              </w:rPr>
            </w:pPr>
            <w:r w:rsidRPr="00C94663">
              <w:rPr>
                <w:rFonts w:ascii="Arial" w:hAnsi="Arial" w:cs="Arial"/>
                <w:b/>
                <w:bCs/>
                <w:i/>
                <w:sz w:val="20"/>
                <w:szCs w:val="20"/>
              </w:rPr>
              <w:t>Sous-traitance (§ 6.2)</w:t>
            </w:r>
          </w:p>
        </w:tc>
      </w:tr>
      <w:tr w:rsidR="00C94663" w:rsidRPr="00C94663" w:rsidTr="00F512A6">
        <w:trPr>
          <w:cantSplit/>
          <w:trHeight w:val="1701"/>
        </w:trPr>
        <w:tc>
          <w:tcPr>
            <w:tcW w:w="79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94663" w:rsidRPr="00C94663" w:rsidRDefault="00C94663" w:rsidP="00C94663">
            <w:pPr>
              <w:jc w:val="both"/>
              <w:rPr>
                <w:rFonts w:ascii="Arial" w:hAnsi="Arial" w:cs="Arial"/>
                <w:sz w:val="20"/>
                <w:szCs w:val="20"/>
              </w:rPr>
            </w:pPr>
            <w:r w:rsidRPr="00C94663">
              <w:rPr>
                <w:rFonts w:ascii="Arial" w:hAnsi="Arial" w:cs="Arial"/>
                <w:sz w:val="20"/>
                <w:szCs w:val="20"/>
              </w:rPr>
              <w:t xml:space="preserve">Le PMR sous-traite-t-il un des processus suivants : </w:t>
            </w:r>
          </w:p>
          <w:p w:rsidR="00C94663" w:rsidRPr="00C94663" w:rsidRDefault="00C94663" w:rsidP="00A34F76">
            <w:pPr>
              <w:numPr>
                <w:ilvl w:val="0"/>
                <w:numId w:val="20"/>
              </w:numPr>
              <w:spacing w:before="40"/>
              <w:ind w:left="426" w:hanging="284"/>
              <w:jc w:val="both"/>
              <w:rPr>
                <w:rFonts w:ascii="Arial" w:hAnsi="Arial" w:cs="Arial"/>
                <w:sz w:val="20"/>
                <w:szCs w:val="20"/>
              </w:rPr>
            </w:pPr>
            <w:r w:rsidRPr="00C94663">
              <w:rPr>
                <w:rFonts w:ascii="Arial" w:hAnsi="Arial" w:cs="Arial"/>
                <w:sz w:val="20"/>
                <w:szCs w:val="20"/>
              </w:rPr>
              <w:t xml:space="preserve">la planification de la production ? </w:t>
            </w:r>
          </w:p>
          <w:p w:rsidR="00C94663" w:rsidRPr="00C94663" w:rsidRDefault="00C94663" w:rsidP="00A34F76">
            <w:pPr>
              <w:numPr>
                <w:ilvl w:val="0"/>
                <w:numId w:val="20"/>
              </w:numPr>
              <w:spacing w:before="40"/>
              <w:ind w:left="426" w:hanging="284"/>
              <w:jc w:val="both"/>
              <w:rPr>
                <w:rFonts w:ascii="Arial" w:hAnsi="Arial" w:cs="Arial"/>
                <w:sz w:val="20"/>
                <w:szCs w:val="20"/>
              </w:rPr>
            </w:pPr>
            <w:r w:rsidRPr="00C94663">
              <w:rPr>
                <w:rFonts w:ascii="Arial" w:hAnsi="Arial" w:cs="Arial"/>
                <w:sz w:val="20"/>
                <w:szCs w:val="20"/>
              </w:rPr>
              <w:t>la sélection des sous-traitants ?</w:t>
            </w:r>
          </w:p>
          <w:p w:rsidR="00C94663" w:rsidRPr="00C94663" w:rsidRDefault="00C94663" w:rsidP="00A34F76">
            <w:pPr>
              <w:numPr>
                <w:ilvl w:val="0"/>
                <w:numId w:val="20"/>
              </w:numPr>
              <w:spacing w:before="40"/>
              <w:ind w:left="426" w:hanging="284"/>
              <w:jc w:val="both"/>
              <w:rPr>
                <w:rFonts w:ascii="Arial" w:hAnsi="Arial" w:cs="Arial"/>
                <w:sz w:val="20"/>
                <w:szCs w:val="20"/>
              </w:rPr>
            </w:pPr>
            <w:r w:rsidRPr="00C94663">
              <w:rPr>
                <w:rFonts w:ascii="Arial" w:hAnsi="Arial" w:cs="Arial"/>
                <w:sz w:val="20"/>
                <w:szCs w:val="20"/>
              </w:rPr>
              <w:t>l’attribution de valeurs de propriétés et leurs incertitudes ?</w:t>
            </w:r>
          </w:p>
          <w:p w:rsidR="00C94663" w:rsidRPr="00C94663" w:rsidRDefault="00C94663" w:rsidP="00A34F76">
            <w:pPr>
              <w:numPr>
                <w:ilvl w:val="0"/>
                <w:numId w:val="20"/>
              </w:numPr>
              <w:spacing w:before="40"/>
              <w:ind w:left="426" w:hanging="284"/>
              <w:jc w:val="both"/>
              <w:rPr>
                <w:rFonts w:ascii="Arial" w:hAnsi="Arial" w:cs="Arial"/>
                <w:sz w:val="20"/>
                <w:szCs w:val="20"/>
              </w:rPr>
            </w:pPr>
            <w:r w:rsidRPr="00C94663">
              <w:rPr>
                <w:rFonts w:ascii="Arial" w:hAnsi="Arial" w:cs="Arial"/>
                <w:sz w:val="20"/>
                <w:szCs w:val="20"/>
              </w:rPr>
              <w:t>l’autorisation de valeurs de propriétés et leurs incertitudes ?</w:t>
            </w:r>
          </w:p>
          <w:p w:rsidR="00C94663" w:rsidRPr="00C94663" w:rsidRDefault="00C94663" w:rsidP="00A34F76">
            <w:pPr>
              <w:numPr>
                <w:ilvl w:val="0"/>
                <w:numId w:val="20"/>
              </w:numPr>
              <w:spacing w:before="40"/>
              <w:ind w:left="426" w:hanging="284"/>
              <w:jc w:val="both"/>
              <w:rPr>
                <w:rFonts w:ascii="Arial" w:hAnsi="Arial" w:cs="Arial"/>
                <w:sz w:val="20"/>
                <w:szCs w:val="20"/>
              </w:rPr>
            </w:pPr>
            <w:r w:rsidRPr="00C94663">
              <w:rPr>
                <w:rFonts w:ascii="Arial" w:hAnsi="Arial" w:cs="Arial"/>
                <w:sz w:val="20"/>
                <w:szCs w:val="20"/>
              </w:rPr>
              <w:t>l’autorisation concernant les documents relatifs aux MR ?</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663" w:rsidRPr="00C94663" w:rsidRDefault="00C94663" w:rsidP="00C94663">
            <w:pPr>
              <w:ind w:left="-116" w:right="-142"/>
              <w:jc w:val="center"/>
              <w:rPr>
                <w:rFonts w:ascii="Arial" w:hAnsi="Arial" w:cs="Arial"/>
                <w:bCs/>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663" w:rsidRPr="00C94663" w:rsidRDefault="00C94663" w:rsidP="00C94663">
            <w:pPr>
              <w:ind w:left="-58" w:right="-142"/>
              <w:jc w:val="center"/>
              <w:rPr>
                <w:rFonts w:ascii="Arial" w:hAnsi="Arial" w:cs="Arial"/>
                <w:bCs/>
                <w:sz w:val="20"/>
                <w:szCs w:val="20"/>
              </w:rPr>
            </w:pPr>
          </w:p>
        </w:tc>
      </w:tr>
      <w:tr w:rsidR="00C94663" w:rsidRPr="00C94663" w:rsidTr="00F512A6">
        <w:trPr>
          <w:cantSplit/>
          <w:trHeight w:val="1020"/>
        </w:trPr>
        <w:tc>
          <w:tcPr>
            <w:tcW w:w="79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94663" w:rsidRPr="00C94663" w:rsidRDefault="00C94663" w:rsidP="00C94663">
            <w:pPr>
              <w:jc w:val="both"/>
              <w:rPr>
                <w:rFonts w:ascii="Arial" w:hAnsi="Arial" w:cs="Arial"/>
                <w:sz w:val="20"/>
                <w:szCs w:val="20"/>
              </w:rPr>
            </w:pPr>
            <w:r w:rsidRPr="00C94663">
              <w:rPr>
                <w:rFonts w:ascii="Arial" w:hAnsi="Arial" w:cs="Arial"/>
                <w:sz w:val="20"/>
                <w:szCs w:val="20"/>
              </w:rPr>
              <w:t>Le PMR a-t-il des dispositions permettant de s’assurer de l’expérience et de la compétence technique de ses sous-traitants, conformément à ses exigences et à celles de la norme NF EN ISO 17034 ?</w:t>
            </w:r>
          </w:p>
          <w:p w:rsidR="00C94663" w:rsidRPr="00C94663" w:rsidRDefault="00C94663" w:rsidP="00C94663">
            <w:pPr>
              <w:jc w:val="both"/>
              <w:rPr>
                <w:rFonts w:ascii="Arial" w:hAnsi="Arial" w:cs="Arial"/>
                <w:sz w:val="20"/>
                <w:szCs w:val="20"/>
              </w:rPr>
            </w:pPr>
            <w:r w:rsidRPr="00C94663">
              <w:rPr>
                <w:rFonts w:ascii="Arial" w:hAnsi="Arial" w:cs="Arial"/>
                <w:sz w:val="20"/>
                <w:szCs w:val="20"/>
              </w:rPr>
              <w:t>La preuve de la compétence de ses sous-traitants est-elle établie et conservée ?</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663" w:rsidRPr="00C94663" w:rsidRDefault="00C94663" w:rsidP="00C94663">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663" w:rsidRPr="00C94663" w:rsidRDefault="00C94663" w:rsidP="00C94663">
            <w:pPr>
              <w:ind w:left="-58" w:right="-142"/>
              <w:jc w:val="center"/>
              <w:rPr>
                <w:rFonts w:ascii="Arial" w:hAnsi="Arial" w:cs="Arial"/>
                <w:sz w:val="20"/>
                <w:szCs w:val="20"/>
              </w:rPr>
            </w:pPr>
          </w:p>
        </w:tc>
      </w:tr>
      <w:tr w:rsidR="00C94663" w:rsidRPr="00C94663" w:rsidTr="00F512A6">
        <w:trPr>
          <w:cantSplit/>
          <w:trHeight w:val="567"/>
        </w:trPr>
        <w:tc>
          <w:tcPr>
            <w:tcW w:w="79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94663" w:rsidRPr="00C94663" w:rsidRDefault="00C94663" w:rsidP="00C94663">
            <w:pPr>
              <w:jc w:val="both"/>
              <w:rPr>
                <w:rFonts w:ascii="Arial" w:hAnsi="Arial" w:cs="Arial"/>
                <w:sz w:val="20"/>
                <w:szCs w:val="20"/>
              </w:rPr>
            </w:pPr>
            <w:r w:rsidRPr="00C94663">
              <w:rPr>
                <w:rFonts w:ascii="Arial" w:hAnsi="Arial" w:cs="Arial"/>
                <w:sz w:val="20"/>
                <w:szCs w:val="20"/>
              </w:rPr>
              <w:t>Le PMR dispose-t-il de personnel ayant une connaissance suffisante de la tâche confiée au(x) sous-traitant(s) pour évaluer l’activité du (ou des) sous-traitant(s) ?</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663" w:rsidRPr="00C94663" w:rsidRDefault="00C94663" w:rsidP="00C94663">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663" w:rsidRPr="00C94663" w:rsidRDefault="00C94663" w:rsidP="00C94663">
            <w:pPr>
              <w:ind w:left="-58" w:right="-142"/>
              <w:jc w:val="center"/>
              <w:rPr>
                <w:rFonts w:ascii="Arial" w:hAnsi="Arial" w:cs="Arial"/>
                <w:sz w:val="20"/>
                <w:szCs w:val="20"/>
              </w:rPr>
            </w:pPr>
          </w:p>
        </w:tc>
      </w:tr>
      <w:tr w:rsidR="00F512A6" w:rsidRPr="00C94663" w:rsidTr="00F512A6">
        <w:trPr>
          <w:cantSplit/>
          <w:trHeight w:val="680"/>
        </w:trPr>
        <w:tc>
          <w:tcPr>
            <w:tcW w:w="7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12A6" w:rsidRPr="00C94663" w:rsidRDefault="00F512A6" w:rsidP="00F512A6">
            <w:pPr>
              <w:ind w:right="-142"/>
              <w:jc w:val="center"/>
              <w:rPr>
                <w:rFonts w:ascii="Arial" w:hAnsi="Arial" w:cs="Arial"/>
                <w:b/>
                <w:sz w:val="22"/>
                <w:szCs w:val="22"/>
              </w:rPr>
            </w:pPr>
            <w:r w:rsidRPr="00C94663">
              <w:rPr>
                <w:rFonts w:ascii="Arial" w:hAnsi="Arial" w:cs="Arial"/>
                <w:b/>
                <w:sz w:val="22"/>
                <w:szCs w:val="22"/>
              </w:rPr>
              <w:lastRenderedPageBreak/>
              <w:t xml:space="preserve">Exigences de la norme et du document LAB MR REF 02 </w:t>
            </w:r>
            <w:r w:rsidRPr="00C94663">
              <w:rPr>
                <w:rFonts w:ascii="Arial" w:hAnsi="Arial" w:cs="Arial"/>
                <w:b/>
                <w:sz w:val="22"/>
                <w:szCs w:val="22"/>
              </w:rPr>
              <w:br/>
              <w:t>à considérer</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12A6" w:rsidRPr="00C94663" w:rsidRDefault="00F512A6" w:rsidP="00F512A6">
            <w:pPr>
              <w:jc w:val="center"/>
              <w:rPr>
                <w:rFonts w:ascii="Arial" w:hAnsi="Arial" w:cs="Arial"/>
                <w:b/>
                <w:sz w:val="22"/>
                <w:szCs w:val="22"/>
              </w:rPr>
            </w:pPr>
            <w:r w:rsidRPr="00C94663">
              <w:rPr>
                <w:rFonts w:ascii="Arial" w:hAnsi="Arial" w:cs="Arial"/>
                <w:b/>
                <w:sz w:val="22"/>
                <w:szCs w:val="22"/>
              </w:rPr>
              <w:t>O/N</w:t>
            </w: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12A6" w:rsidRPr="00C94663" w:rsidRDefault="00F512A6" w:rsidP="00F512A6">
            <w:pPr>
              <w:jc w:val="center"/>
              <w:rPr>
                <w:rFonts w:ascii="Arial" w:hAnsi="Arial" w:cs="Arial"/>
                <w:b/>
                <w:sz w:val="22"/>
                <w:szCs w:val="22"/>
              </w:rPr>
            </w:pPr>
            <w:r w:rsidRPr="00C94663">
              <w:rPr>
                <w:rFonts w:ascii="Arial" w:hAnsi="Arial" w:cs="Arial"/>
                <w:b/>
                <w:sz w:val="22"/>
                <w:szCs w:val="22"/>
              </w:rPr>
              <w:t>Application</w:t>
            </w:r>
          </w:p>
          <w:p w:rsidR="00F512A6" w:rsidRPr="00C94663" w:rsidRDefault="00F512A6" w:rsidP="00F512A6">
            <w:pPr>
              <w:jc w:val="center"/>
              <w:rPr>
                <w:rFonts w:ascii="Arial" w:hAnsi="Arial" w:cs="Arial"/>
                <w:b/>
                <w:sz w:val="22"/>
                <w:szCs w:val="22"/>
              </w:rPr>
            </w:pPr>
            <w:r w:rsidRPr="00C94663">
              <w:rPr>
                <w:rFonts w:ascii="Arial" w:hAnsi="Arial" w:cs="Arial"/>
                <w:b/>
                <w:sz w:val="22"/>
                <w:szCs w:val="22"/>
              </w:rPr>
              <w:t>O/N</w:t>
            </w: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Achats d’équipements, de services et de fournitures (§ 6.3)</w:t>
            </w:r>
          </w:p>
        </w:tc>
      </w:tr>
      <w:tr w:rsidR="00F512A6" w:rsidRPr="00C94663" w:rsidTr="00F512A6">
        <w:trPr>
          <w:cantSplit/>
          <w:trHeight w:val="1020"/>
        </w:trPr>
        <w:tc>
          <w:tcPr>
            <w:tcW w:w="79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Le PMR a-t-il des procédures pour la sélection des équipements, services et fournitures ayant une incidence sur la qualité de la production des MR ?</w:t>
            </w:r>
          </w:p>
          <w:p w:rsidR="00F512A6" w:rsidRPr="00C94663" w:rsidRDefault="00F512A6" w:rsidP="00F512A6">
            <w:pPr>
              <w:jc w:val="both"/>
              <w:rPr>
                <w:rFonts w:ascii="Arial" w:hAnsi="Arial" w:cs="Arial"/>
                <w:sz w:val="20"/>
                <w:szCs w:val="20"/>
              </w:rPr>
            </w:pPr>
            <w:r w:rsidRPr="00C94663">
              <w:rPr>
                <w:rFonts w:ascii="Arial" w:hAnsi="Arial" w:cs="Arial"/>
                <w:sz w:val="20"/>
                <w:szCs w:val="20"/>
              </w:rPr>
              <w:t>Conserve-t-il des enregistrements concernant les équipements, services et fournitures ayant une incidence sur la qualité de la production des MR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Installations et conditions ambiantes (§ 6.4)</w:t>
            </w:r>
          </w:p>
        </w:tc>
      </w:tr>
      <w:tr w:rsidR="00F512A6" w:rsidRPr="00C94663" w:rsidTr="00F512A6">
        <w:trPr>
          <w:cantSplit/>
          <w:trHeight w:val="454"/>
        </w:trPr>
        <w:tc>
          <w:tcPr>
            <w:tcW w:w="79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Les installations et les conditions ambiantes sont-elles surveillées et contrôlées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512A6" w:rsidRPr="00C94663" w:rsidRDefault="00F512A6" w:rsidP="00F512A6">
            <w:pPr>
              <w:ind w:right="-142"/>
              <w:jc w:val="both"/>
              <w:rPr>
                <w:rFonts w:ascii="Arial" w:hAnsi="Arial" w:cs="Arial"/>
                <w:b/>
                <w:sz w:val="22"/>
                <w:szCs w:val="22"/>
              </w:rPr>
            </w:pPr>
            <w:r w:rsidRPr="00C94663">
              <w:rPr>
                <w:rFonts w:ascii="Arial" w:hAnsi="Arial" w:cs="Arial"/>
                <w:b/>
                <w:sz w:val="22"/>
                <w:szCs w:val="22"/>
              </w:rPr>
              <w:t>Exigences techniques et de production (NF EN ISO 17034 - § 7)</w:t>
            </w: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Planification de la production (§ 7.2)</w:t>
            </w:r>
          </w:p>
        </w:tc>
      </w:tr>
      <w:tr w:rsidR="00F512A6" w:rsidRPr="00C94663" w:rsidTr="00F512A6">
        <w:trPr>
          <w:cantSplit/>
          <w:trHeight w:val="794"/>
        </w:trPr>
        <w:tc>
          <w:tcPr>
            <w:tcW w:w="79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Le PMR a-t-il identifié et planifié les processus ayant une incidence directe sur la qualité de la production des MR ?</w:t>
            </w:r>
          </w:p>
          <w:p w:rsidR="00F512A6" w:rsidRPr="00C94663" w:rsidRDefault="00F512A6" w:rsidP="00F512A6">
            <w:pPr>
              <w:jc w:val="both"/>
              <w:rPr>
                <w:rFonts w:ascii="Arial" w:hAnsi="Arial" w:cs="Arial"/>
                <w:sz w:val="20"/>
                <w:szCs w:val="20"/>
              </w:rPr>
            </w:pPr>
            <w:r w:rsidRPr="00C94663">
              <w:rPr>
                <w:rFonts w:ascii="Arial" w:hAnsi="Arial" w:cs="Arial"/>
                <w:sz w:val="20"/>
                <w:szCs w:val="20"/>
              </w:rPr>
              <w:t>Le plan de production est-il documenté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567"/>
        </w:trPr>
        <w:tc>
          <w:tcPr>
            <w:tcW w:w="79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Les données d’entrée techniques des sous-traitants impliqués sont-elles spécifiées et les informations requises documentées et passées en revue de manière régulière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Maitrise de la production (§ 7.3)</w:t>
            </w:r>
          </w:p>
        </w:tc>
      </w:tr>
      <w:tr w:rsidR="00F512A6" w:rsidRPr="00C94663" w:rsidTr="00F512A6">
        <w:trPr>
          <w:cantSplit/>
          <w:trHeight w:val="567"/>
        </w:trPr>
        <w:tc>
          <w:tcPr>
            <w:tcW w:w="79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 xml:space="preserve">Le PMR vérifie-t-il que le plan de production est correctement appliqué ? </w:t>
            </w:r>
          </w:p>
          <w:p w:rsidR="00F512A6" w:rsidRPr="00C94663" w:rsidRDefault="00F512A6" w:rsidP="00F512A6">
            <w:pPr>
              <w:jc w:val="both"/>
              <w:rPr>
                <w:rFonts w:ascii="Arial" w:hAnsi="Arial" w:cs="Arial"/>
                <w:sz w:val="20"/>
                <w:szCs w:val="20"/>
              </w:rPr>
            </w:pPr>
            <w:r w:rsidRPr="00C94663">
              <w:rPr>
                <w:rFonts w:ascii="Arial" w:hAnsi="Arial" w:cs="Arial"/>
                <w:sz w:val="20"/>
                <w:szCs w:val="20"/>
              </w:rPr>
              <w:t>Les écarts par rapport au plan sont-ils documentés et approuvés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Manutention et stockage des matériaux (§ 7.4)</w:t>
            </w:r>
          </w:p>
        </w:tc>
      </w:tr>
      <w:tr w:rsidR="00F512A6" w:rsidRPr="00C94663" w:rsidTr="00F512A6">
        <w:trPr>
          <w:cantSplit/>
          <w:trHeight w:val="567"/>
        </w:trPr>
        <w:tc>
          <w:tcPr>
            <w:tcW w:w="79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Le PMR a-t-il pris des dispositions pour assurer l’intégrité de ses MR tout au long du processus de production, y compris pour le stockage et le conditionnement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567"/>
        </w:trPr>
        <w:tc>
          <w:tcPr>
            <w:tcW w:w="79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Le PMR garantit-il un emballage approprié de tous les MR de façon à assurer leur protection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567"/>
        </w:trPr>
        <w:tc>
          <w:tcPr>
            <w:tcW w:w="79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L’état de tous les MR est-il évalué à des intervalles appropriés pendant toute la période de stockage afin de détecter toute détérioration éventuelle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Traitement des matériaux (§ 7.5)</w:t>
            </w:r>
          </w:p>
        </w:tc>
      </w:tr>
      <w:tr w:rsidR="00F512A6" w:rsidRPr="00C94663" w:rsidTr="00F512A6">
        <w:trPr>
          <w:cantSplit/>
          <w:trHeight w:val="567"/>
        </w:trPr>
        <w:tc>
          <w:tcPr>
            <w:tcW w:w="79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Le PMR a-t-il établi des procédures pour assurer que le matériau a été soumis à un traitement approprié pour son utilisation prévue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Procédures de mesures (§ 7.6)</w:t>
            </w:r>
          </w:p>
        </w:tc>
      </w:tr>
      <w:tr w:rsidR="00F512A6" w:rsidRPr="00C94663" w:rsidTr="00F512A6">
        <w:trPr>
          <w:cantSplit/>
          <w:trHeight w:val="567"/>
        </w:trPr>
        <w:tc>
          <w:tcPr>
            <w:tcW w:w="79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Le PMR s’est-il assuré que les exigences applicables de l’ISO/IEC 17025 sont satisfaites pour ce qui concerne la réalisation de l’étalonnage et des essais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Equipements de mesure (§ 7.7)</w:t>
            </w:r>
          </w:p>
        </w:tc>
      </w:tr>
      <w:tr w:rsidR="00F512A6" w:rsidRPr="00C94663" w:rsidTr="00F512A6">
        <w:trPr>
          <w:cantSplit/>
          <w:trHeight w:val="567"/>
        </w:trPr>
        <w:tc>
          <w:tcPr>
            <w:tcW w:w="79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Le PMR s’est-il assuré que l’équipement de mesure utilisé pour la production des MR est employé conformément aux exigences applicables de l’ISO/IEC 17025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Intégrité et évaluations des données (§ 7.8)</w:t>
            </w:r>
          </w:p>
        </w:tc>
      </w:tr>
      <w:tr w:rsidR="00F512A6" w:rsidRPr="00C94663" w:rsidTr="00F512A6">
        <w:trPr>
          <w:cantSplit/>
          <w:trHeight w:val="567"/>
        </w:trPr>
        <w:tc>
          <w:tcPr>
            <w:tcW w:w="7760"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Le PMR s’est-il assuré que les logiciels, les calculs et les transferts de données font l’objet de vérifications et de validations appropriées ?</w:t>
            </w:r>
          </w:p>
        </w:tc>
        <w:tc>
          <w:tcPr>
            <w:tcW w:w="1563"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2A6" w:rsidRPr="00C94663" w:rsidRDefault="00F512A6" w:rsidP="00F512A6">
            <w:pPr>
              <w:ind w:right="-142"/>
              <w:jc w:val="center"/>
              <w:rPr>
                <w:rFonts w:ascii="Arial" w:hAnsi="Arial" w:cs="Arial"/>
                <w:b/>
                <w:sz w:val="22"/>
                <w:szCs w:val="22"/>
              </w:rPr>
            </w:pPr>
            <w:r w:rsidRPr="00C94663">
              <w:rPr>
                <w:rFonts w:ascii="Arial" w:hAnsi="Arial" w:cs="Arial"/>
                <w:b/>
                <w:sz w:val="22"/>
                <w:szCs w:val="22"/>
              </w:rPr>
              <w:lastRenderedPageBreak/>
              <w:t xml:space="preserve">Exigences de la norme et du document LAB MR REF 02 </w:t>
            </w:r>
            <w:r w:rsidRPr="00C94663">
              <w:rPr>
                <w:rFonts w:ascii="Arial" w:hAnsi="Arial" w:cs="Arial"/>
                <w:b/>
                <w:sz w:val="22"/>
                <w:szCs w:val="22"/>
              </w:rPr>
              <w:br/>
              <w:t>à considérer</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12A6" w:rsidRPr="00C94663" w:rsidRDefault="00F512A6" w:rsidP="00F512A6">
            <w:pPr>
              <w:jc w:val="center"/>
              <w:rPr>
                <w:rFonts w:ascii="Arial" w:hAnsi="Arial" w:cs="Arial"/>
                <w:b/>
                <w:sz w:val="22"/>
                <w:szCs w:val="22"/>
              </w:rPr>
            </w:pPr>
            <w:r w:rsidRPr="00C94663">
              <w:rPr>
                <w:rFonts w:ascii="Arial" w:hAnsi="Arial" w:cs="Arial"/>
                <w:b/>
                <w:sz w:val="22"/>
                <w:szCs w:val="22"/>
              </w:rPr>
              <w:t>O/N</w:t>
            </w: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12A6" w:rsidRPr="00C94663" w:rsidRDefault="00F512A6" w:rsidP="00F512A6">
            <w:pPr>
              <w:jc w:val="center"/>
              <w:rPr>
                <w:rFonts w:ascii="Arial" w:hAnsi="Arial" w:cs="Arial"/>
                <w:b/>
                <w:sz w:val="22"/>
                <w:szCs w:val="22"/>
              </w:rPr>
            </w:pPr>
            <w:r w:rsidRPr="00C94663">
              <w:rPr>
                <w:rFonts w:ascii="Arial" w:hAnsi="Arial" w:cs="Arial"/>
                <w:b/>
                <w:sz w:val="22"/>
                <w:szCs w:val="22"/>
              </w:rPr>
              <w:t>Application</w:t>
            </w:r>
          </w:p>
          <w:p w:rsidR="00F512A6" w:rsidRPr="00C94663" w:rsidRDefault="00F512A6" w:rsidP="00F512A6">
            <w:pPr>
              <w:jc w:val="center"/>
              <w:rPr>
                <w:rFonts w:ascii="Arial" w:hAnsi="Arial" w:cs="Arial"/>
                <w:b/>
                <w:sz w:val="22"/>
                <w:szCs w:val="22"/>
              </w:rPr>
            </w:pPr>
            <w:r w:rsidRPr="00C94663">
              <w:rPr>
                <w:rFonts w:ascii="Arial" w:hAnsi="Arial" w:cs="Arial"/>
                <w:b/>
                <w:sz w:val="22"/>
                <w:szCs w:val="22"/>
              </w:rPr>
              <w:t>O/N</w:t>
            </w:r>
          </w:p>
        </w:tc>
      </w:tr>
      <w:tr w:rsidR="00F512A6" w:rsidRPr="00C94663" w:rsidTr="00F512A6">
        <w:trPr>
          <w:cantSplit/>
          <w:trHeight w:val="454"/>
        </w:trPr>
        <w:tc>
          <w:tcPr>
            <w:tcW w:w="10841" w:type="dxa"/>
            <w:gridSpan w:val="6"/>
            <w:tcBorders>
              <w:top w:val="nil"/>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Traçabilité métrologique des valeurs certifiées (§ 7.9)</w:t>
            </w:r>
          </w:p>
        </w:tc>
      </w:tr>
      <w:tr w:rsidR="00F512A6" w:rsidRPr="00C94663" w:rsidTr="00F512A6">
        <w:trPr>
          <w:cantSplit/>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Lors de la production de MRC, la traçabilité métrologique des valeurs certifiées est-elle établie conformément aux exigences applicables de l’ISO/IEC 17025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Le PMR possède-t-il des preuves de la traçabilité métrologique de la valeur certifiée à une référence déclarée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Lorsque c’est techniquement possible, le PMR peut-il démontrer la traçabilité de la référence déclarée au Système international d’unités (SI)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794"/>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Lorsque la traçabilité métrologique aux unités SI est techniquement impossible, le PMR peut-il démontrer la traçabilité métrologique à une référence appropriée (voir les exigences de traçabilité dans l’ISO/IEC 17025)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Évaluation de l’homogénéité (§ 7.10)</w:t>
            </w:r>
          </w:p>
        </w:tc>
      </w:tr>
      <w:tr w:rsidR="00F512A6" w:rsidRPr="00C94663" w:rsidTr="00F512A6">
        <w:trPr>
          <w:cantSplit/>
          <w:trHeight w:val="794"/>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Le PMR réalise-t-il une évaluation de l’homogénéité de tout MR sous sa forme emballée finale afin de garantir son aptitude à l’emploi et a-t-il mis en place des procédures à cet effet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Évaluation et surveillance de la stabilité (§ 7.11)</w:t>
            </w:r>
          </w:p>
        </w:tc>
      </w:tr>
      <w:tr w:rsidR="00F512A6" w:rsidRPr="00C94663" w:rsidTr="00F512A6">
        <w:trPr>
          <w:cantSplit/>
          <w:trHeight w:val="1020"/>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 xml:space="preserve">Le PMR a-t-il évalué, si nécessaire par une expérimentation, la stabilité de toutes les propriétés pertinentes d’un MR dans des conditions de traitement, d’emballage, de stockage et de transport spécifiées ? </w:t>
            </w:r>
          </w:p>
          <w:p w:rsidR="00F512A6" w:rsidRPr="00C94663" w:rsidRDefault="00F512A6" w:rsidP="00F512A6">
            <w:pPr>
              <w:jc w:val="both"/>
              <w:rPr>
                <w:rFonts w:ascii="Arial" w:hAnsi="Arial" w:cs="Arial"/>
                <w:sz w:val="20"/>
                <w:szCs w:val="20"/>
              </w:rPr>
            </w:pPr>
            <w:r w:rsidRPr="00C94663">
              <w:rPr>
                <w:rFonts w:ascii="Arial" w:hAnsi="Arial" w:cs="Arial"/>
                <w:sz w:val="20"/>
                <w:szCs w:val="20"/>
              </w:rPr>
              <w:t>A-t-il mis en place un programme de surveillance à cet effet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Caractérisation (§ 7.12)</w:t>
            </w:r>
          </w:p>
        </w:tc>
      </w:tr>
      <w:tr w:rsidR="00F512A6" w:rsidRPr="00C94663" w:rsidTr="00F512A6">
        <w:trPr>
          <w:cantSplit/>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Lorsque le PMR attribue les valeurs de propriétés, la caractérisation du MR est-elle réalisée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La stratégie de caractérisation choisie est-elle définie et appropriée pour chaque propriété d’intérêt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Attribution des valeurs de propriétés et leurs incertitudes (§ 7.13)</w:t>
            </w:r>
          </w:p>
        </w:tc>
      </w:tr>
      <w:tr w:rsidR="00F512A6" w:rsidRPr="00C94663" w:rsidTr="00F512A6">
        <w:trPr>
          <w:cantSplit/>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Le PMR dispose-t-il de procédures documentées pour l’attribution de valeurs de propriétés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Documents et étiquettes relatifs aux MR (§ 7.14)</w:t>
            </w:r>
          </w:p>
        </w:tc>
      </w:tr>
      <w:tr w:rsidR="00F512A6" w:rsidRPr="00C94663" w:rsidTr="00F512A6">
        <w:trPr>
          <w:cantSplit/>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Le PMR met-il à disposition un certificat de MR pour les MRC et/ou une fiche d’information de produit pour les autres MR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Service de distribution (§ 7.15)</w:t>
            </w:r>
          </w:p>
        </w:tc>
      </w:tr>
      <w:tr w:rsidR="00F512A6" w:rsidRPr="00C94663" w:rsidTr="00F512A6">
        <w:trPr>
          <w:cantSplit/>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Le processus de distribution des MR est-il clairement spécifié et le PMR tient-il à jour des enregistrements actualisés de toutes les ventes et distribution des MR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794"/>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Lorsque les MR sont revendus par un distributeur, avec lequel le PMR entretient une relation contractuelle, ce dernier transmet-il au distributeur autorisé toutes les informations nécessaires pour assurer un service après distribution efficace.</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Le PMR propose-t-il une assistance technique et des consignes appropriées concernant les MR qu’il produit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2A6" w:rsidRPr="00C94663" w:rsidRDefault="00F512A6" w:rsidP="00F512A6">
            <w:pPr>
              <w:ind w:right="-142"/>
              <w:jc w:val="center"/>
              <w:rPr>
                <w:rFonts w:ascii="Arial" w:hAnsi="Arial" w:cs="Arial"/>
                <w:b/>
                <w:sz w:val="22"/>
                <w:szCs w:val="22"/>
              </w:rPr>
            </w:pPr>
            <w:r w:rsidRPr="00C94663">
              <w:rPr>
                <w:rFonts w:ascii="Arial" w:hAnsi="Arial" w:cs="Arial"/>
                <w:b/>
                <w:sz w:val="22"/>
                <w:szCs w:val="22"/>
              </w:rPr>
              <w:lastRenderedPageBreak/>
              <w:t xml:space="preserve">Exigences de la norme et du document LAB MR REF 02 </w:t>
            </w:r>
            <w:r w:rsidRPr="00C94663">
              <w:rPr>
                <w:rFonts w:ascii="Arial" w:hAnsi="Arial" w:cs="Arial"/>
                <w:b/>
                <w:sz w:val="22"/>
                <w:szCs w:val="22"/>
              </w:rPr>
              <w:br/>
              <w:t>à considérer</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12A6" w:rsidRPr="00C94663" w:rsidRDefault="00F512A6" w:rsidP="00F512A6">
            <w:pPr>
              <w:jc w:val="center"/>
              <w:rPr>
                <w:rFonts w:ascii="Arial" w:hAnsi="Arial" w:cs="Arial"/>
                <w:b/>
                <w:sz w:val="22"/>
                <w:szCs w:val="22"/>
              </w:rPr>
            </w:pPr>
            <w:r w:rsidRPr="00C94663">
              <w:rPr>
                <w:rFonts w:ascii="Arial" w:hAnsi="Arial" w:cs="Arial"/>
                <w:b/>
                <w:sz w:val="22"/>
                <w:szCs w:val="22"/>
              </w:rPr>
              <w:t>O/N</w:t>
            </w: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12A6" w:rsidRPr="00C94663" w:rsidRDefault="00F512A6" w:rsidP="00F512A6">
            <w:pPr>
              <w:jc w:val="center"/>
              <w:rPr>
                <w:rFonts w:ascii="Arial" w:hAnsi="Arial" w:cs="Arial"/>
                <w:b/>
                <w:sz w:val="22"/>
                <w:szCs w:val="22"/>
              </w:rPr>
            </w:pPr>
            <w:r w:rsidRPr="00C94663">
              <w:rPr>
                <w:rFonts w:ascii="Arial" w:hAnsi="Arial" w:cs="Arial"/>
                <w:b/>
                <w:sz w:val="22"/>
                <w:szCs w:val="22"/>
              </w:rPr>
              <w:t>Application</w:t>
            </w:r>
          </w:p>
          <w:p w:rsidR="00F512A6" w:rsidRPr="00C94663" w:rsidRDefault="00F512A6" w:rsidP="00F512A6">
            <w:pPr>
              <w:jc w:val="center"/>
              <w:rPr>
                <w:rFonts w:ascii="Arial" w:hAnsi="Arial" w:cs="Arial"/>
                <w:b/>
                <w:sz w:val="22"/>
                <w:szCs w:val="22"/>
              </w:rPr>
            </w:pPr>
            <w:r w:rsidRPr="00C94663">
              <w:rPr>
                <w:rFonts w:ascii="Arial" w:hAnsi="Arial" w:cs="Arial"/>
                <w:b/>
                <w:sz w:val="22"/>
                <w:szCs w:val="22"/>
              </w:rPr>
              <w:t>O/N</w:t>
            </w: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Maîtrise de la qualité et des enregistrements techniques (§ 7.16)</w:t>
            </w:r>
          </w:p>
        </w:tc>
      </w:tr>
      <w:tr w:rsidR="00F512A6" w:rsidRPr="00C94663" w:rsidTr="00F512A6">
        <w:trPr>
          <w:cantSplit/>
          <w:trHeight w:val="794"/>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Le PMR a-t-il mis en place des procédures d’identification, de collecte, d’indexage, d’accès, de stockage, de conservation et d’élimination des enregistrements techniques et relatifs à la qualité, y compris pour les données stockées électroniquement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Gestion des travaux non conformes (§ 7.17)</w:t>
            </w:r>
          </w:p>
        </w:tc>
      </w:tr>
      <w:tr w:rsidR="00F512A6" w:rsidRPr="00C94663" w:rsidTr="00F512A6">
        <w:trPr>
          <w:cantSplit/>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Le PMR dispose-t-il de procédures relatives au traitement des éventuelles non conformités aux exigences spécifiées, intégrant les éléments demandés au § 7.17.2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Réclamations (§ 7.18)</w:t>
            </w:r>
          </w:p>
        </w:tc>
      </w:tr>
      <w:tr w:rsidR="00F512A6" w:rsidRPr="00C94663" w:rsidTr="00F512A6">
        <w:trPr>
          <w:cantSplit/>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Le PMR a-t-il mis en place un processus documenté lui permettant d’enregistrer, d’analyser et de traiter les réclamations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512A6" w:rsidRPr="00C94663" w:rsidRDefault="00F512A6" w:rsidP="00F512A6">
            <w:pPr>
              <w:ind w:right="-142"/>
              <w:jc w:val="both"/>
              <w:rPr>
                <w:rFonts w:ascii="Arial" w:hAnsi="Arial" w:cs="Arial"/>
                <w:b/>
                <w:sz w:val="22"/>
                <w:szCs w:val="22"/>
              </w:rPr>
            </w:pPr>
            <w:r w:rsidRPr="00C94663">
              <w:rPr>
                <w:rFonts w:ascii="Arial" w:hAnsi="Arial" w:cs="Arial"/>
                <w:b/>
                <w:sz w:val="22"/>
                <w:szCs w:val="22"/>
              </w:rPr>
              <w:t>Exigences relatives au système de management (NF EN ISO 17034 - § 8)</w:t>
            </w: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Politique qualité (§ 8.2)</w:t>
            </w:r>
          </w:p>
        </w:tc>
      </w:tr>
      <w:tr w:rsidR="00F512A6" w:rsidRPr="00C94663" w:rsidTr="00F512A6">
        <w:trPr>
          <w:cantSplit/>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rPr>
              <w:t>Existe-t-il une politique qualité visant à assurer le respect des exigences décrites au § 8.2.3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Documentation générale du système de management (§ 8.3)</w:t>
            </w:r>
          </w:p>
        </w:tc>
      </w:tr>
      <w:tr w:rsidR="00F512A6" w:rsidRPr="00C94663" w:rsidTr="00F512A6">
        <w:trPr>
          <w:cantSplit/>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sz w:val="20"/>
              </w:rPr>
              <w:t>Le PMR documente-t-il l’ensemble de ses systèmes, programmes, procédures etc. de façon adéquate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454"/>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rPr>
            </w:pPr>
            <w:r w:rsidRPr="00C94663">
              <w:rPr>
                <w:rFonts w:ascii="Arial" w:hAnsi="Arial" w:cs="Arial"/>
                <w:sz w:val="20"/>
              </w:rPr>
              <w:t>Les documents applicables sont-ils disponibles aux utilisateurs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Maîtrise des documents du système de management (§ 8.4)</w:t>
            </w:r>
          </w:p>
        </w:tc>
      </w:tr>
      <w:tr w:rsidR="00F512A6" w:rsidRPr="00C94663" w:rsidTr="00F512A6">
        <w:trPr>
          <w:cantSplit/>
          <w:trHeight w:val="454"/>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rPr>
              <w:t xml:space="preserve">Existe-t-il des dispositions visant à </w:t>
            </w:r>
            <w:r w:rsidRPr="00C94663">
              <w:rPr>
                <w:rFonts w:ascii="Arial" w:hAnsi="Arial"/>
                <w:sz w:val="20"/>
              </w:rPr>
              <w:t>maîtriser la documentation interne et externe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Maîtrise des enregistrements (§ 8.5)</w:t>
            </w:r>
          </w:p>
        </w:tc>
      </w:tr>
      <w:tr w:rsidR="00F512A6" w:rsidRPr="00C94663" w:rsidTr="00F512A6">
        <w:trPr>
          <w:cantSplit/>
          <w:trHeight w:val="1814"/>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Existe-t-il des dispositions relatives à la gestion des enregistrements ?</w:t>
            </w:r>
          </w:p>
          <w:p w:rsidR="00F512A6" w:rsidRPr="00C94663" w:rsidRDefault="00F512A6" w:rsidP="00F512A6">
            <w:pPr>
              <w:jc w:val="both"/>
              <w:rPr>
                <w:rFonts w:ascii="Arial" w:hAnsi="Arial" w:cs="Arial"/>
                <w:sz w:val="20"/>
                <w:szCs w:val="20"/>
              </w:rPr>
            </w:pPr>
            <w:r w:rsidRPr="00C94663">
              <w:rPr>
                <w:rFonts w:ascii="Arial" w:hAnsi="Arial" w:cs="Arial"/>
                <w:sz w:val="20"/>
                <w:szCs w:val="20"/>
              </w:rPr>
              <w:t xml:space="preserve">Si oui, prévoient-elles </w:t>
            </w:r>
            <w:proofErr w:type="gramStart"/>
            <w:r w:rsidRPr="00C94663">
              <w:rPr>
                <w:rFonts w:ascii="Arial" w:hAnsi="Arial" w:cs="Arial"/>
                <w:sz w:val="20"/>
                <w:szCs w:val="20"/>
              </w:rPr>
              <w:t>des dispositions sur</w:t>
            </w:r>
            <w:proofErr w:type="gramEnd"/>
            <w:r w:rsidRPr="00C94663">
              <w:rPr>
                <w:rFonts w:ascii="Arial" w:hAnsi="Arial" w:cs="Arial"/>
                <w:sz w:val="20"/>
                <w:szCs w:val="20"/>
              </w:rPr>
              <w:t> :</w:t>
            </w:r>
          </w:p>
          <w:p w:rsidR="00F512A6" w:rsidRPr="00C94663" w:rsidRDefault="00F512A6" w:rsidP="00F512A6">
            <w:pPr>
              <w:numPr>
                <w:ilvl w:val="0"/>
                <w:numId w:val="21"/>
              </w:numPr>
              <w:spacing w:before="60"/>
              <w:ind w:left="426" w:hanging="284"/>
              <w:jc w:val="both"/>
              <w:rPr>
                <w:rFonts w:ascii="Arial" w:hAnsi="Arial" w:cs="Arial"/>
                <w:sz w:val="20"/>
                <w:szCs w:val="20"/>
              </w:rPr>
            </w:pPr>
            <w:r w:rsidRPr="00C94663">
              <w:rPr>
                <w:rFonts w:ascii="Arial" w:hAnsi="Arial" w:cs="Arial"/>
                <w:sz w:val="20"/>
                <w:szCs w:val="20"/>
              </w:rPr>
              <w:t>l’identification, le stockage ?</w:t>
            </w:r>
          </w:p>
          <w:p w:rsidR="00F512A6" w:rsidRPr="00C94663" w:rsidRDefault="00F512A6" w:rsidP="00F512A6">
            <w:pPr>
              <w:numPr>
                <w:ilvl w:val="0"/>
                <w:numId w:val="21"/>
              </w:numPr>
              <w:spacing w:before="60"/>
              <w:ind w:left="426" w:hanging="284"/>
              <w:jc w:val="both"/>
              <w:rPr>
                <w:rFonts w:ascii="Arial" w:hAnsi="Arial" w:cs="Arial"/>
                <w:sz w:val="20"/>
                <w:szCs w:val="20"/>
              </w:rPr>
            </w:pPr>
            <w:r w:rsidRPr="00C94663">
              <w:rPr>
                <w:rFonts w:ascii="Arial" w:hAnsi="Arial" w:cs="Arial"/>
                <w:sz w:val="20"/>
                <w:szCs w:val="20"/>
              </w:rPr>
              <w:t>l’accessibilité ?</w:t>
            </w:r>
          </w:p>
          <w:p w:rsidR="00F512A6" w:rsidRPr="00C94663" w:rsidRDefault="00F512A6" w:rsidP="00F512A6">
            <w:pPr>
              <w:numPr>
                <w:ilvl w:val="0"/>
                <w:numId w:val="21"/>
              </w:numPr>
              <w:spacing w:before="60"/>
              <w:ind w:left="426" w:hanging="284"/>
              <w:jc w:val="both"/>
              <w:rPr>
                <w:rFonts w:ascii="Arial" w:hAnsi="Arial" w:cs="Arial"/>
                <w:sz w:val="20"/>
                <w:szCs w:val="20"/>
              </w:rPr>
            </w:pPr>
            <w:r w:rsidRPr="00C94663">
              <w:rPr>
                <w:rFonts w:ascii="Arial" w:hAnsi="Arial" w:cs="Arial"/>
                <w:sz w:val="20"/>
                <w:szCs w:val="20"/>
              </w:rPr>
              <w:t>la protection, la sauvegarde ?</w:t>
            </w:r>
          </w:p>
          <w:p w:rsidR="00F512A6" w:rsidRPr="00C94663" w:rsidRDefault="00F512A6" w:rsidP="00F512A6">
            <w:pPr>
              <w:numPr>
                <w:ilvl w:val="0"/>
                <w:numId w:val="21"/>
              </w:numPr>
              <w:spacing w:before="60"/>
              <w:ind w:left="426" w:hanging="284"/>
              <w:jc w:val="both"/>
              <w:rPr>
                <w:rFonts w:ascii="Arial" w:hAnsi="Arial" w:cs="Arial"/>
                <w:sz w:val="20"/>
                <w:szCs w:val="20"/>
              </w:rPr>
            </w:pPr>
            <w:r w:rsidRPr="00C94663">
              <w:rPr>
                <w:rFonts w:ascii="Arial" w:hAnsi="Arial" w:cs="Arial"/>
                <w:sz w:val="20"/>
                <w:szCs w:val="20"/>
              </w:rPr>
              <w:t>les durées de conservation et l’élimination des enregistrements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454"/>
        </w:trPr>
        <w:tc>
          <w:tcPr>
            <w:tcW w:w="10841" w:type="dxa"/>
            <w:gridSpan w:val="6"/>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Revues de direction (§ 8.6)</w:t>
            </w:r>
          </w:p>
        </w:tc>
      </w:tr>
      <w:tr w:rsidR="00F512A6" w:rsidRPr="00C94663" w:rsidTr="00F512A6">
        <w:trPr>
          <w:cantSplit/>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rPr>
            </w:pPr>
            <w:r w:rsidRPr="00C94663">
              <w:rPr>
                <w:rFonts w:ascii="Arial" w:hAnsi="Arial" w:cs="Arial"/>
                <w:sz w:val="20"/>
              </w:rPr>
              <w:t xml:space="preserve">Le PMR procède-t-il à des revues de direction de façon périodique selon un calendrier et </w:t>
            </w:r>
            <w:proofErr w:type="gramStart"/>
            <w:r w:rsidRPr="00C94663">
              <w:rPr>
                <w:rFonts w:ascii="Arial" w:hAnsi="Arial" w:cs="Arial"/>
                <w:sz w:val="20"/>
              </w:rPr>
              <w:t>une procédure établis</w:t>
            </w:r>
            <w:proofErr w:type="gramEnd"/>
            <w:r w:rsidRPr="00C94663">
              <w:rPr>
                <w:rFonts w:ascii="Arial" w:hAnsi="Arial" w:cs="Arial"/>
                <w:sz w:val="20"/>
              </w:rPr>
              <w:t>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rPr>
              <w:t>Les éléments d’entrée, de sortie de la revue de direction ainsi que l’ensemble des décisions ou actions sont-ils enregistrés et suivis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567"/>
        </w:trPr>
        <w:tc>
          <w:tcPr>
            <w:tcW w:w="7760" w:type="dxa"/>
            <w:tcBorders>
              <w:top w:val="single" w:sz="4" w:space="0" w:color="000000"/>
              <w:left w:val="nil"/>
              <w:bottom w:val="single" w:sz="4" w:space="0" w:color="000000"/>
              <w:right w:val="nil"/>
            </w:tcBorders>
            <w:shd w:val="clear" w:color="auto" w:fill="FFFFFF" w:themeFill="background1"/>
            <w:vAlign w:val="center"/>
          </w:tcPr>
          <w:p w:rsidR="00F512A6" w:rsidRPr="00C94663" w:rsidRDefault="00F512A6" w:rsidP="00F512A6">
            <w:pPr>
              <w:jc w:val="both"/>
              <w:rPr>
                <w:rFonts w:ascii="Arial" w:hAnsi="Arial" w:cs="Arial"/>
                <w:sz w:val="20"/>
              </w:rPr>
            </w:pPr>
          </w:p>
        </w:tc>
        <w:tc>
          <w:tcPr>
            <w:tcW w:w="1563" w:type="dxa"/>
            <w:gridSpan w:val="3"/>
            <w:tcBorders>
              <w:top w:val="single" w:sz="4" w:space="0" w:color="000000"/>
              <w:left w:val="nil"/>
              <w:bottom w:val="single" w:sz="4" w:space="0" w:color="000000"/>
              <w:right w:val="nil"/>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nil"/>
              <w:bottom w:val="single" w:sz="4" w:space="0" w:color="000000"/>
              <w:right w:val="nil"/>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2A6" w:rsidRPr="00C94663" w:rsidRDefault="00F512A6" w:rsidP="00F512A6">
            <w:pPr>
              <w:ind w:right="-142"/>
              <w:jc w:val="center"/>
              <w:rPr>
                <w:rFonts w:ascii="Arial" w:hAnsi="Arial" w:cs="Arial"/>
                <w:b/>
                <w:sz w:val="22"/>
                <w:szCs w:val="22"/>
              </w:rPr>
            </w:pPr>
            <w:r w:rsidRPr="00C94663">
              <w:rPr>
                <w:rFonts w:ascii="Arial" w:hAnsi="Arial" w:cs="Arial"/>
                <w:b/>
                <w:sz w:val="22"/>
                <w:szCs w:val="22"/>
              </w:rPr>
              <w:lastRenderedPageBreak/>
              <w:t xml:space="preserve">Exigences de la norme et du document LAB MR REF 02 </w:t>
            </w:r>
            <w:r w:rsidRPr="00C94663">
              <w:rPr>
                <w:rFonts w:ascii="Arial" w:hAnsi="Arial" w:cs="Arial"/>
                <w:b/>
                <w:sz w:val="22"/>
                <w:szCs w:val="22"/>
              </w:rPr>
              <w:br/>
              <w:t>à considérer</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12A6" w:rsidRPr="00C94663" w:rsidRDefault="00F512A6" w:rsidP="00F512A6">
            <w:pPr>
              <w:jc w:val="center"/>
              <w:rPr>
                <w:rFonts w:ascii="Arial" w:hAnsi="Arial" w:cs="Arial"/>
                <w:b/>
                <w:sz w:val="22"/>
                <w:szCs w:val="22"/>
              </w:rPr>
            </w:pPr>
            <w:r w:rsidRPr="00C94663">
              <w:rPr>
                <w:rFonts w:ascii="Arial" w:hAnsi="Arial" w:cs="Arial"/>
                <w:b/>
                <w:sz w:val="22"/>
                <w:szCs w:val="22"/>
              </w:rPr>
              <w:t>O/N</w:t>
            </w: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12A6" w:rsidRPr="00C94663" w:rsidRDefault="00F512A6" w:rsidP="00F512A6">
            <w:pPr>
              <w:jc w:val="center"/>
              <w:rPr>
                <w:rFonts w:ascii="Arial" w:hAnsi="Arial" w:cs="Arial"/>
                <w:b/>
                <w:sz w:val="22"/>
                <w:szCs w:val="22"/>
              </w:rPr>
            </w:pPr>
            <w:r w:rsidRPr="00C94663">
              <w:rPr>
                <w:rFonts w:ascii="Arial" w:hAnsi="Arial" w:cs="Arial"/>
                <w:b/>
                <w:sz w:val="22"/>
                <w:szCs w:val="22"/>
              </w:rPr>
              <w:t>Application</w:t>
            </w:r>
          </w:p>
          <w:p w:rsidR="00F512A6" w:rsidRPr="00C94663" w:rsidRDefault="00F512A6" w:rsidP="00F512A6">
            <w:pPr>
              <w:jc w:val="center"/>
              <w:rPr>
                <w:rFonts w:ascii="Arial" w:hAnsi="Arial" w:cs="Arial"/>
                <w:b/>
                <w:sz w:val="22"/>
                <w:szCs w:val="22"/>
              </w:rPr>
            </w:pPr>
            <w:r w:rsidRPr="00C94663">
              <w:rPr>
                <w:rFonts w:ascii="Arial" w:hAnsi="Arial" w:cs="Arial"/>
                <w:b/>
                <w:sz w:val="22"/>
                <w:szCs w:val="22"/>
              </w:rPr>
              <w:t>O/N</w:t>
            </w:r>
          </w:p>
        </w:tc>
      </w:tr>
      <w:tr w:rsidR="00F512A6" w:rsidRPr="00C94663" w:rsidTr="00F512A6">
        <w:trPr>
          <w:cantSplit/>
          <w:trHeight w:val="397"/>
        </w:trPr>
        <w:tc>
          <w:tcPr>
            <w:tcW w:w="10841" w:type="dxa"/>
            <w:gridSpan w:val="6"/>
            <w:tcBorders>
              <w:top w:val="nil"/>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Audits internes (§ 8.7)</w:t>
            </w:r>
          </w:p>
        </w:tc>
      </w:tr>
      <w:tr w:rsidR="00F512A6" w:rsidRPr="00C94663" w:rsidTr="00F512A6">
        <w:trPr>
          <w:cantSplit/>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rPr>
            </w:pPr>
            <w:r w:rsidRPr="00C94663">
              <w:rPr>
                <w:rFonts w:ascii="Arial" w:hAnsi="Arial" w:cs="Arial"/>
                <w:sz w:val="20"/>
              </w:rPr>
              <w:t xml:space="preserve">Le PMR réalise-t-il des audits internes de façon périodique selon un calendrier et </w:t>
            </w:r>
            <w:proofErr w:type="gramStart"/>
            <w:r w:rsidRPr="00C94663">
              <w:rPr>
                <w:rFonts w:ascii="Arial" w:hAnsi="Arial" w:cs="Arial"/>
                <w:sz w:val="20"/>
              </w:rPr>
              <w:t>une procédure établis</w:t>
            </w:r>
            <w:proofErr w:type="gramEnd"/>
            <w:r w:rsidRPr="00C94663">
              <w:rPr>
                <w:rFonts w:ascii="Arial" w:hAnsi="Arial" w:cs="Arial"/>
                <w:sz w:val="20"/>
              </w:rPr>
              <w:t>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rPr>
            </w:pPr>
            <w:r w:rsidRPr="00C94663">
              <w:rPr>
                <w:rFonts w:ascii="Arial" w:hAnsi="Arial" w:cs="Arial"/>
                <w:sz w:val="20"/>
              </w:rPr>
              <w:t>Le périmètre d’audit interne couvre-t-il le système de management et les activités techniques et de production du PMR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cantSplit/>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rPr>
            </w:pPr>
            <w:r w:rsidRPr="00C94663">
              <w:rPr>
                <w:rFonts w:ascii="Arial" w:hAnsi="Arial" w:cs="Arial"/>
                <w:sz w:val="20"/>
              </w:rPr>
              <w:t>Des actions appropriées sont-elles mises en place, dans des délais adaptés, à l’issue de la réalisation des audits internes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gridAfter w:val="1"/>
          <w:wAfter w:w="6" w:type="dxa"/>
          <w:trHeight w:val="397"/>
        </w:trPr>
        <w:tc>
          <w:tcPr>
            <w:tcW w:w="10835" w:type="dxa"/>
            <w:gridSpan w:val="5"/>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Actions à mettre en œuvre face aux risques et opportunités (§ 8.8)</w:t>
            </w:r>
          </w:p>
        </w:tc>
      </w:tr>
      <w:tr w:rsidR="00F512A6" w:rsidRPr="00C94663" w:rsidTr="00F512A6">
        <w:trPr>
          <w:gridAfter w:val="1"/>
          <w:wAfter w:w="6" w:type="dxa"/>
          <w:trHeight w:val="1134"/>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szCs w:val="20"/>
              </w:rPr>
              <w:t>Les risques et opportunités liés aux activités du PMR et à ses objectifs ont-ils été pris en compte ?</w:t>
            </w:r>
          </w:p>
          <w:p w:rsidR="00F512A6" w:rsidRPr="00C94663" w:rsidRDefault="00F512A6" w:rsidP="00F512A6">
            <w:pPr>
              <w:numPr>
                <w:ilvl w:val="0"/>
                <w:numId w:val="22"/>
              </w:numPr>
              <w:spacing w:before="60"/>
              <w:ind w:left="426" w:hanging="284"/>
              <w:jc w:val="both"/>
              <w:rPr>
                <w:rFonts w:ascii="Arial" w:hAnsi="Arial" w:cs="Arial"/>
                <w:sz w:val="20"/>
                <w:szCs w:val="20"/>
              </w:rPr>
            </w:pPr>
            <w:r w:rsidRPr="00C94663">
              <w:rPr>
                <w:rFonts w:ascii="Arial" w:hAnsi="Arial" w:cs="Arial"/>
                <w:sz w:val="20"/>
                <w:szCs w:val="20"/>
              </w:rPr>
              <w:t>les actions à mettre en œuvre ?</w:t>
            </w:r>
          </w:p>
          <w:p w:rsidR="00F512A6" w:rsidRPr="00C94663" w:rsidRDefault="00F512A6" w:rsidP="00F512A6">
            <w:pPr>
              <w:numPr>
                <w:ilvl w:val="0"/>
                <w:numId w:val="22"/>
              </w:numPr>
              <w:spacing w:before="60"/>
              <w:ind w:left="426" w:hanging="284"/>
              <w:jc w:val="both"/>
              <w:rPr>
                <w:rFonts w:ascii="Arial" w:hAnsi="Arial" w:cs="Arial"/>
                <w:sz w:val="20"/>
                <w:szCs w:val="20"/>
              </w:rPr>
            </w:pPr>
            <w:r w:rsidRPr="00C94663">
              <w:rPr>
                <w:rFonts w:ascii="Arial" w:hAnsi="Arial" w:cs="Arial"/>
                <w:sz w:val="20"/>
                <w:szCs w:val="20"/>
              </w:rPr>
              <w:t>la vérification de l’efficacité de ces actions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gridAfter w:val="1"/>
          <w:wAfter w:w="6" w:type="dxa"/>
          <w:trHeight w:val="397"/>
        </w:trPr>
        <w:tc>
          <w:tcPr>
            <w:tcW w:w="10835" w:type="dxa"/>
            <w:gridSpan w:val="5"/>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jc w:val="both"/>
              <w:rPr>
                <w:rFonts w:ascii="Arial" w:hAnsi="Arial" w:cs="Arial"/>
                <w:b/>
                <w:bCs/>
                <w:i/>
                <w:sz w:val="20"/>
                <w:szCs w:val="20"/>
              </w:rPr>
            </w:pPr>
            <w:r w:rsidRPr="00C94663">
              <w:rPr>
                <w:rFonts w:ascii="Arial" w:hAnsi="Arial" w:cs="Arial"/>
                <w:b/>
                <w:bCs/>
                <w:i/>
                <w:sz w:val="20"/>
                <w:szCs w:val="20"/>
              </w:rPr>
              <w:t>Actions correctives (§ 8.9)</w:t>
            </w:r>
          </w:p>
        </w:tc>
      </w:tr>
      <w:tr w:rsidR="00F512A6" w:rsidRPr="00C94663" w:rsidTr="00F512A6">
        <w:trPr>
          <w:gridAfter w:val="1"/>
          <w:wAfter w:w="6" w:type="dxa"/>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rPr>
            </w:pPr>
            <w:r w:rsidRPr="00C94663">
              <w:rPr>
                <w:rFonts w:ascii="Arial" w:hAnsi="Arial" w:cs="Arial"/>
                <w:sz w:val="20"/>
              </w:rPr>
              <w:t>Le PMR mène-t-il des actions correctives appropriées pour éliminer le ou les causes de la non-conformité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gridAfter w:val="1"/>
          <w:wAfter w:w="6" w:type="dxa"/>
          <w:trHeight w:val="454"/>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rPr>
            </w:pPr>
            <w:r w:rsidRPr="00C94663">
              <w:rPr>
                <w:rFonts w:ascii="Arial" w:hAnsi="Arial" w:cs="Arial"/>
                <w:sz w:val="20"/>
              </w:rPr>
              <w:t>Le PMR vérifie-t-il l’efficacité de celles-ci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gridAfter w:val="1"/>
          <w:wAfter w:w="6" w:type="dxa"/>
          <w:trHeight w:val="397"/>
        </w:trPr>
        <w:tc>
          <w:tcPr>
            <w:tcW w:w="10835" w:type="dxa"/>
            <w:gridSpan w:val="5"/>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rPr>
                <w:rFonts w:ascii="Arial" w:hAnsi="Arial" w:cs="Arial"/>
                <w:b/>
                <w:bCs/>
                <w:i/>
                <w:sz w:val="20"/>
                <w:szCs w:val="20"/>
              </w:rPr>
            </w:pPr>
            <w:r w:rsidRPr="00C94663">
              <w:rPr>
                <w:rFonts w:ascii="Arial" w:hAnsi="Arial" w:cs="Arial"/>
                <w:b/>
                <w:bCs/>
                <w:i/>
                <w:sz w:val="20"/>
                <w:szCs w:val="20"/>
              </w:rPr>
              <w:t>Amélioration (§ 8.10)</w:t>
            </w:r>
          </w:p>
        </w:tc>
      </w:tr>
      <w:tr w:rsidR="00F512A6" w:rsidRPr="00C94663" w:rsidTr="00F512A6">
        <w:trPr>
          <w:gridAfter w:val="1"/>
          <w:wAfter w:w="6" w:type="dxa"/>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rPr>
              <w:t>Des plans d’actions sont-ils mis en œuvre afin de prendre en compte des opportunités d’amélioration identifiées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gridAfter w:val="1"/>
          <w:wAfter w:w="6" w:type="dxa"/>
          <w:trHeight w:val="397"/>
        </w:trPr>
        <w:tc>
          <w:tcPr>
            <w:tcW w:w="10835" w:type="dxa"/>
            <w:gridSpan w:val="5"/>
            <w:tcBorders>
              <w:top w:val="single" w:sz="4" w:space="0" w:color="000000"/>
              <w:left w:val="single" w:sz="4" w:space="0" w:color="000000"/>
              <w:bottom w:val="single" w:sz="4" w:space="0" w:color="000000"/>
              <w:right w:val="single" w:sz="4" w:space="0" w:color="000000"/>
            </w:tcBorders>
            <w:shd w:val="pct5" w:color="auto" w:fill="FFFFFF" w:themeFill="background1"/>
            <w:vAlign w:val="center"/>
            <w:hideMark/>
          </w:tcPr>
          <w:p w:rsidR="00F512A6" w:rsidRPr="00C94663" w:rsidRDefault="00F512A6" w:rsidP="00F512A6">
            <w:pPr>
              <w:ind w:right="-142"/>
              <w:rPr>
                <w:rFonts w:ascii="Arial" w:hAnsi="Arial" w:cs="Arial"/>
                <w:b/>
                <w:bCs/>
                <w:i/>
                <w:sz w:val="20"/>
                <w:szCs w:val="20"/>
              </w:rPr>
            </w:pPr>
            <w:r w:rsidRPr="00C94663">
              <w:rPr>
                <w:rFonts w:ascii="Arial" w:hAnsi="Arial" w:cs="Arial"/>
                <w:b/>
                <w:bCs/>
                <w:i/>
                <w:sz w:val="20"/>
                <w:szCs w:val="20"/>
              </w:rPr>
              <w:t>Retour d’information des clients (§ 8.11)</w:t>
            </w:r>
          </w:p>
        </w:tc>
      </w:tr>
      <w:tr w:rsidR="00F512A6" w:rsidRPr="00C94663" w:rsidTr="00F512A6">
        <w:trPr>
          <w:gridAfter w:val="1"/>
          <w:wAfter w:w="6" w:type="dxa"/>
          <w:trHeight w:val="454"/>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sz w:val="20"/>
                <w:szCs w:val="20"/>
              </w:rPr>
            </w:pPr>
            <w:r w:rsidRPr="00C94663">
              <w:rPr>
                <w:rFonts w:ascii="Arial" w:hAnsi="Arial" w:cs="Arial"/>
                <w:sz w:val="20"/>
              </w:rPr>
              <w:t>Le PMR collecte-t-il des retours d’informations de la part de ses clients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116" w:right="-142"/>
              <w:jc w:val="center"/>
              <w:rPr>
                <w:rFonts w:ascii="Arial" w:hAnsi="Arial" w:cs="Arial"/>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gridAfter w:val="1"/>
          <w:wAfter w:w="6" w:type="dxa"/>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b/>
                <w:sz w:val="20"/>
                <w:szCs w:val="20"/>
              </w:rPr>
            </w:pPr>
            <w:r w:rsidRPr="00C94663">
              <w:rPr>
                <w:rFonts w:ascii="Arial" w:hAnsi="Arial" w:cs="Arial"/>
                <w:b/>
                <w:sz w:val="20"/>
                <w:szCs w:val="20"/>
              </w:rPr>
              <w:t>Disposition pour la maitrise de la portée d’accréditation (LAB MR REF 08)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512A6" w:rsidRPr="00C94663" w:rsidRDefault="00F512A6" w:rsidP="00F512A6">
            <w:pPr>
              <w:ind w:left="-58" w:right="-142"/>
              <w:jc w:val="center"/>
              <w:rPr>
                <w:rFonts w:ascii="Arial" w:hAnsi="Arial" w:cs="Arial"/>
                <w:sz w:val="20"/>
                <w:szCs w:val="20"/>
              </w:rPr>
            </w:pPr>
          </w:p>
        </w:tc>
      </w:tr>
      <w:tr w:rsidR="00F512A6" w:rsidRPr="00C94663" w:rsidTr="00F512A6">
        <w:trPr>
          <w:gridAfter w:val="1"/>
          <w:wAfter w:w="6" w:type="dxa"/>
          <w:trHeight w:val="567"/>
        </w:trPr>
        <w:tc>
          <w:tcPr>
            <w:tcW w:w="7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512A6" w:rsidRPr="00C94663" w:rsidRDefault="00F512A6" w:rsidP="00F512A6">
            <w:pPr>
              <w:jc w:val="both"/>
              <w:rPr>
                <w:rFonts w:ascii="Arial" w:hAnsi="Arial" w:cs="Arial"/>
                <w:b/>
                <w:sz w:val="20"/>
                <w:szCs w:val="20"/>
              </w:rPr>
            </w:pPr>
            <w:r w:rsidRPr="00C94663">
              <w:rPr>
                <w:rFonts w:ascii="Arial" w:hAnsi="Arial" w:cs="Arial"/>
                <w:b/>
                <w:sz w:val="20"/>
                <w:szCs w:val="20"/>
              </w:rPr>
              <w:t>Prise en compte du document de référence à l’accréditation GEN REF 11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12A6" w:rsidRPr="00C94663" w:rsidRDefault="00F512A6" w:rsidP="00F512A6">
            <w:pPr>
              <w:ind w:left="-58" w:right="-142"/>
              <w:jc w:val="center"/>
              <w:rPr>
                <w:rFonts w:ascii="Arial" w:hAnsi="Arial" w:cs="Arial"/>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512A6" w:rsidRPr="00C94663" w:rsidRDefault="00F512A6" w:rsidP="00F512A6">
            <w:pPr>
              <w:ind w:left="-58" w:right="-142"/>
              <w:jc w:val="center"/>
              <w:rPr>
                <w:rFonts w:ascii="Arial" w:hAnsi="Arial" w:cs="Arial"/>
                <w:sz w:val="20"/>
                <w:szCs w:val="20"/>
              </w:rPr>
            </w:pPr>
          </w:p>
        </w:tc>
      </w:tr>
    </w:tbl>
    <w:p w:rsidR="00C94663" w:rsidRPr="003C50DF" w:rsidRDefault="00C94663" w:rsidP="00C94663">
      <w:pPr>
        <w:ind w:right="-142"/>
        <w:rPr>
          <w:rFonts w:ascii="Arial" w:hAnsi="Arial" w:cs="Arial"/>
          <w:sz w:val="22"/>
          <w:szCs w:val="22"/>
        </w:rPr>
      </w:pPr>
    </w:p>
    <w:tbl>
      <w:tblPr>
        <w:tblStyle w:val="Grilledutableau"/>
        <w:tblW w:w="10826" w:type="dxa"/>
        <w:jc w:val="center"/>
        <w:tblInd w:w="0" w:type="dxa"/>
        <w:tblLook w:val="04A0" w:firstRow="1" w:lastRow="0" w:firstColumn="1" w:lastColumn="0" w:noHBand="0" w:noVBand="1"/>
      </w:tblPr>
      <w:tblGrid>
        <w:gridCol w:w="2862"/>
        <w:gridCol w:w="3544"/>
        <w:gridCol w:w="2835"/>
        <w:gridCol w:w="1585"/>
      </w:tblGrid>
      <w:tr w:rsidR="00C94663" w:rsidRPr="00C94663" w:rsidTr="003C50DF">
        <w:trPr>
          <w:trHeight w:val="1020"/>
          <w:jc w:val="center"/>
        </w:trPr>
        <w:tc>
          <w:tcPr>
            <w:tcW w:w="2862" w:type="dxa"/>
            <w:tcBorders>
              <w:top w:val="single" w:sz="4" w:space="0" w:color="000000"/>
              <w:left w:val="single" w:sz="4" w:space="0" w:color="000000"/>
              <w:bottom w:val="single" w:sz="4" w:space="0" w:color="000000"/>
              <w:right w:val="single" w:sz="4" w:space="0" w:color="000000"/>
            </w:tcBorders>
            <w:vAlign w:val="center"/>
            <w:hideMark/>
          </w:tcPr>
          <w:p w:rsidR="00C94663" w:rsidRPr="00C94663" w:rsidRDefault="00C94663" w:rsidP="00C94663">
            <w:pPr>
              <w:spacing w:before="120" w:after="120"/>
              <w:rPr>
                <w:rFonts w:ascii="Arial" w:hAnsi="Arial" w:cs="Arial"/>
              </w:rPr>
            </w:pPr>
            <w:r w:rsidRPr="00C94663">
              <w:rPr>
                <w:rFonts w:ascii="Arial" w:hAnsi="Arial" w:cs="Arial"/>
              </w:rPr>
              <w:t>Personne ayant renseigné ce formulaire :</w:t>
            </w:r>
          </w:p>
        </w:tc>
        <w:tc>
          <w:tcPr>
            <w:tcW w:w="3544" w:type="dxa"/>
            <w:tcBorders>
              <w:top w:val="single" w:sz="4" w:space="0" w:color="000000"/>
              <w:left w:val="single" w:sz="4" w:space="0" w:color="000000"/>
              <w:bottom w:val="single" w:sz="4" w:space="0" w:color="000000"/>
              <w:right w:val="single" w:sz="4" w:space="0" w:color="000000"/>
            </w:tcBorders>
            <w:vAlign w:val="center"/>
          </w:tcPr>
          <w:p w:rsidR="00C94663" w:rsidRPr="00C94663" w:rsidRDefault="00C94663" w:rsidP="00C94663">
            <w:pPr>
              <w:spacing w:before="120" w:after="12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C94663" w:rsidRPr="00C94663" w:rsidRDefault="00C94663" w:rsidP="00C94663">
            <w:pPr>
              <w:spacing w:before="120" w:after="120"/>
              <w:rPr>
                <w:rFonts w:ascii="Arial" w:hAnsi="Arial" w:cs="Arial"/>
              </w:rPr>
            </w:pPr>
            <w:r w:rsidRPr="00C94663">
              <w:rPr>
                <w:rFonts w:ascii="Arial" w:hAnsi="Arial" w:cs="Arial"/>
              </w:rPr>
              <w:t>Date de renseignement du formulaire :</w:t>
            </w:r>
          </w:p>
        </w:tc>
        <w:tc>
          <w:tcPr>
            <w:tcW w:w="1585" w:type="dxa"/>
            <w:tcBorders>
              <w:top w:val="single" w:sz="4" w:space="0" w:color="000000"/>
              <w:left w:val="single" w:sz="4" w:space="0" w:color="000000"/>
              <w:bottom w:val="single" w:sz="4" w:space="0" w:color="000000"/>
              <w:right w:val="single" w:sz="4" w:space="0" w:color="000000"/>
            </w:tcBorders>
            <w:vAlign w:val="center"/>
          </w:tcPr>
          <w:p w:rsidR="00C94663" w:rsidRPr="00C94663" w:rsidRDefault="00C94663" w:rsidP="00C94663">
            <w:pPr>
              <w:spacing w:before="120" w:after="120"/>
              <w:rPr>
                <w:rFonts w:ascii="Arial" w:hAnsi="Arial" w:cs="Arial"/>
              </w:rPr>
            </w:pPr>
          </w:p>
        </w:tc>
      </w:tr>
    </w:tbl>
    <w:p w:rsidR="00A34F76" w:rsidRDefault="00A34F76" w:rsidP="00C94663">
      <w:pPr>
        <w:ind w:right="-142"/>
        <w:rPr>
          <w:rFonts w:ascii="Arial" w:hAnsi="Arial" w:cs="Arial"/>
          <w:sz w:val="16"/>
          <w:szCs w:val="16"/>
        </w:rPr>
      </w:pPr>
    </w:p>
    <w:p w:rsidR="00F512A6" w:rsidRPr="00F512A6" w:rsidRDefault="00F512A6" w:rsidP="00C94663">
      <w:pPr>
        <w:ind w:right="-142"/>
        <w:rPr>
          <w:rFonts w:ascii="Arial" w:hAnsi="Arial" w:cs="Arial"/>
          <w:sz w:val="16"/>
          <w:szCs w:val="16"/>
        </w:rPr>
      </w:pPr>
    </w:p>
    <w:tbl>
      <w:tblPr>
        <w:tblStyle w:val="Grilledutableau"/>
        <w:tblW w:w="0" w:type="auto"/>
        <w:tblInd w:w="108" w:type="dxa"/>
        <w:tblLook w:val="04A0" w:firstRow="1" w:lastRow="0" w:firstColumn="1" w:lastColumn="0" w:noHBand="0" w:noVBand="1"/>
      </w:tblPr>
      <w:tblGrid>
        <w:gridCol w:w="10828"/>
      </w:tblGrid>
      <w:tr w:rsidR="00F512A6" w:rsidTr="005122D9">
        <w:trPr>
          <w:trHeight w:val="2381"/>
        </w:trPr>
        <w:tc>
          <w:tcPr>
            <w:tcW w:w="10828" w:type="dxa"/>
            <w:vAlign w:val="center"/>
          </w:tcPr>
          <w:p w:rsidR="00F512A6" w:rsidRPr="00C94663" w:rsidRDefault="00F512A6" w:rsidP="005122D9">
            <w:pPr>
              <w:ind w:right="1"/>
              <w:rPr>
                <w:rFonts w:ascii="Arial" w:hAnsi="Arial" w:cs="Arial"/>
                <w:i/>
                <w:iCs/>
                <w:sz w:val="16"/>
                <w:szCs w:val="16"/>
              </w:rPr>
            </w:pPr>
            <w:bookmarkStart w:id="0" w:name="_Hlk76553714"/>
            <w:bookmarkStart w:id="1" w:name="_Hlk76658733"/>
            <w:r w:rsidRPr="00C94663">
              <w:rPr>
                <w:rFonts w:ascii="Arial" w:hAnsi="Arial" w:cs="Arial"/>
                <w:i/>
                <w:iCs/>
                <w:sz w:val="16"/>
                <w:szCs w:val="16"/>
              </w:rPr>
              <w:t xml:space="preserve">En soumettant ce formulaire, </w:t>
            </w:r>
            <w:bookmarkStart w:id="2" w:name="_Hlk76553262"/>
            <w:r w:rsidRPr="00C94663">
              <w:rPr>
                <w:rFonts w:ascii="Arial" w:hAnsi="Arial" w:cs="Arial"/>
                <w:i/>
                <w:iCs/>
                <w:sz w:val="16"/>
                <w:szCs w:val="16"/>
              </w:rPr>
              <w:t xml:space="preserve">vous acceptez que le Cofrac enregistre et traite vos données personnelles </w:t>
            </w:r>
            <w:bookmarkStart w:id="3" w:name="_Hlk76553182"/>
            <w:r w:rsidRPr="00C94663">
              <w:rPr>
                <w:rFonts w:ascii="Arial" w:hAnsi="Arial" w:cs="Arial"/>
                <w:i/>
                <w:iCs/>
                <w:sz w:val="16"/>
                <w:szCs w:val="16"/>
              </w:rPr>
              <w:t xml:space="preserve">pour les besoins strictement nécessaires </w:t>
            </w:r>
            <w:bookmarkEnd w:id="2"/>
            <w:r w:rsidRPr="00C94663">
              <w:rPr>
                <w:rFonts w:ascii="Arial" w:hAnsi="Arial" w:cs="Arial"/>
                <w:i/>
                <w:iCs/>
                <w:sz w:val="16"/>
                <w:szCs w:val="16"/>
              </w:rPr>
              <w:t xml:space="preserve">à l’examen et à la gestion de votre demande. </w:t>
            </w:r>
            <w:bookmarkStart w:id="4" w:name="_Hlk76656428"/>
            <w:bookmarkStart w:id="5" w:name="_Hlk76554258"/>
            <w:bookmarkEnd w:id="0"/>
            <w:bookmarkEnd w:id="3"/>
          </w:p>
          <w:p w:rsidR="00F512A6" w:rsidRPr="00C94663" w:rsidRDefault="00F512A6" w:rsidP="005122D9">
            <w:pPr>
              <w:ind w:right="1"/>
              <w:rPr>
                <w:rFonts w:ascii="Arial" w:hAnsi="Arial" w:cs="Arial"/>
                <w:i/>
                <w:iCs/>
                <w:sz w:val="16"/>
                <w:szCs w:val="16"/>
              </w:rPr>
            </w:pPr>
            <w:bookmarkStart w:id="6" w:name="_Hlk76658102"/>
            <w:bookmarkEnd w:id="1"/>
            <w:r w:rsidRPr="00C94663">
              <w:rPr>
                <w:rFonts w:ascii="Arial" w:hAnsi="Arial" w:cs="Arial"/>
                <w:i/>
                <w:iCs/>
                <w:sz w:val="16"/>
                <w:szCs w:val="16"/>
              </w:rPr>
              <w:t xml:space="preserve">Le Cofrac ne conservera vos données personnelles que pendant la durée nécessaire à son traitement, puis, à l’issue de ce délai, conformément aux délais légaux ou règlementaires applicables, notamment de prescription. </w:t>
            </w:r>
          </w:p>
          <w:p w:rsidR="00F512A6" w:rsidRPr="00C94663" w:rsidRDefault="00F512A6" w:rsidP="005122D9">
            <w:pPr>
              <w:ind w:right="1"/>
              <w:rPr>
                <w:rFonts w:ascii="Arial" w:hAnsi="Arial" w:cs="Arial"/>
                <w:i/>
                <w:iCs/>
                <w:sz w:val="16"/>
                <w:szCs w:val="16"/>
              </w:rPr>
            </w:pPr>
            <w:bookmarkStart w:id="7" w:name="_Hlk76658847"/>
            <w:bookmarkEnd w:id="4"/>
            <w:bookmarkEnd w:id="6"/>
            <w:r w:rsidRPr="00C94663">
              <w:rPr>
                <w:rFonts w:ascii="Arial" w:hAnsi="Arial" w:cs="Arial"/>
                <w:i/>
                <w:iCs/>
                <w:sz w:val="16"/>
                <w:szCs w:val="16"/>
              </w:rPr>
              <w:t>Vos données personnelles ne seront pas communiquées à des tiers sauf si une telle communication est nécessaire au traitement de votre demande, à l'accomplissement des obligations légales du Cofrac ou à l'exercice des missions qui lui ont été conférées.</w:t>
            </w:r>
          </w:p>
          <w:bookmarkEnd w:id="7"/>
          <w:p w:rsidR="00F512A6" w:rsidRDefault="00F512A6" w:rsidP="005122D9">
            <w:pPr>
              <w:ind w:right="1"/>
              <w:rPr>
                <w:sz w:val="8"/>
                <w:szCs w:val="8"/>
              </w:rPr>
            </w:pPr>
            <w:r w:rsidRPr="00C94663">
              <w:rPr>
                <w:rFonts w:ascii="Arial" w:hAnsi="Arial" w:cs="Arial"/>
                <w:i/>
                <w:iCs/>
                <w:sz w:val="16"/>
                <w:szCs w:val="16"/>
              </w:rPr>
              <w:t xml:space="preserve">Conformément au </w:t>
            </w:r>
            <w:bookmarkStart w:id="8" w:name="_Hlk76659561"/>
            <w:r w:rsidRPr="00C94663">
              <w:rPr>
                <w:rFonts w:ascii="Arial" w:hAnsi="Arial" w:cs="Arial"/>
                <w:i/>
                <w:iCs/>
                <w:sz w:val="16"/>
                <w:szCs w:val="16"/>
              </w:rPr>
              <w:t>Règlement (UE) n° 2016/679 du Parlement européen et du Conseil du 27 avril 2016 relatif à la protection des personnes physiques à l'égard du traitement des données à caractère personnel et à la libre circulation de ces données</w:t>
            </w:r>
            <w:bookmarkEnd w:id="8"/>
            <w:r w:rsidRPr="00C94663">
              <w:rPr>
                <w:rFonts w:ascii="Arial" w:hAnsi="Arial" w:cs="Arial"/>
                <w:i/>
                <w:iCs/>
                <w:sz w:val="16"/>
                <w:szCs w:val="16"/>
              </w:rPr>
              <w:t xml:space="preserve">, </w:t>
            </w:r>
            <w:bookmarkStart w:id="9" w:name="_Hlk76659675"/>
            <w:r w:rsidRPr="00C94663">
              <w:rPr>
                <w:rFonts w:ascii="Arial" w:hAnsi="Arial" w:cs="Arial"/>
                <w:i/>
                <w:iCs/>
                <w:sz w:val="16"/>
                <w:szCs w:val="16"/>
              </w:rPr>
              <w:t>ainsi qu’à la Loi n° 78-017 du 6 janvier 1978 relative à l’informatique, aux fichiers et aux libertés,</w:t>
            </w:r>
            <w:bookmarkEnd w:id="9"/>
            <w:r w:rsidRPr="00C94663">
              <w:rPr>
                <w:rFonts w:ascii="Arial" w:hAnsi="Arial" w:cs="Arial"/>
                <w:i/>
                <w:iCs/>
                <w:sz w:val="16"/>
                <w:szCs w:val="16"/>
              </w:rPr>
              <w:t xml:space="preserve"> vous disposez d’un droit d’accès, de rectification, de limitation, de retrait de consentement et d’opposition au traitement des données vous concernant. Vous pouvez exercer l’ensemble de ces droits en adressant votre demande par courrier à l’adresse postale suivante </w:t>
            </w:r>
            <w:bookmarkStart w:id="10" w:name="_Hlk54884593"/>
            <w:r w:rsidRPr="00C94663">
              <w:rPr>
                <w:rFonts w:ascii="Arial" w:hAnsi="Arial" w:cs="Arial"/>
                <w:i/>
                <w:iCs/>
                <w:sz w:val="16"/>
                <w:szCs w:val="16"/>
              </w:rPr>
              <w:t xml:space="preserve">: Cofrac, 52 rue Jacques </w:t>
            </w:r>
            <w:proofErr w:type="spellStart"/>
            <w:r w:rsidRPr="00C94663">
              <w:rPr>
                <w:rFonts w:ascii="Arial" w:hAnsi="Arial" w:cs="Arial"/>
                <w:i/>
                <w:iCs/>
                <w:sz w:val="16"/>
                <w:szCs w:val="16"/>
              </w:rPr>
              <w:t>Hillairet</w:t>
            </w:r>
            <w:proofErr w:type="spellEnd"/>
            <w:r w:rsidRPr="00C94663">
              <w:rPr>
                <w:rFonts w:ascii="Arial" w:hAnsi="Arial" w:cs="Arial"/>
                <w:i/>
                <w:iCs/>
                <w:sz w:val="16"/>
                <w:szCs w:val="16"/>
              </w:rPr>
              <w:t xml:space="preserve"> - 75012 Paris,</w:t>
            </w:r>
            <w:bookmarkEnd w:id="10"/>
            <w:r w:rsidRPr="00C94663">
              <w:rPr>
                <w:rFonts w:ascii="Arial" w:hAnsi="Arial" w:cs="Arial"/>
                <w:i/>
                <w:iCs/>
                <w:sz w:val="16"/>
                <w:szCs w:val="16"/>
              </w:rPr>
              <w:t xml:space="preserve"> ou par courriel : </w:t>
            </w:r>
            <w:bookmarkStart w:id="11" w:name="_Hlk54883703"/>
            <w:r w:rsidRPr="00C94663">
              <w:rPr>
                <w:rFonts w:ascii="Arial" w:hAnsi="Arial" w:cs="Arial"/>
                <w:i/>
                <w:iCs/>
                <w:sz w:val="16"/>
                <w:szCs w:val="16"/>
              </w:rPr>
              <w:t>contact.rgpd@cofrac.fr</w:t>
            </w:r>
            <w:bookmarkEnd w:id="11"/>
            <w:r w:rsidRPr="00C94663">
              <w:rPr>
                <w:rFonts w:ascii="Arial" w:hAnsi="Arial" w:cs="Arial"/>
                <w:i/>
                <w:iCs/>
                <w:sz w:val="16"/>
                <w:szCs w:val="16"/>
              </w:rPr>
              <w:t xml:space="preserve">. Vous avez également le droit d’introduire une réclamation auprès de la Commission nationale de l’informatique et des libertés (CNIL). </w:t>
            </w:r>
            <w:bookmarkEnd w:id="5"/>
          </w:p>
        </w:tc>
      </w:tr>
    </w:tbl>
    <w:p w:rsidR="00F512A6" w:rsidRPr="00F512A6" w:rsidRDefault="00F512A6" w:rsidP="00C94663">
      <w:pPr>
        <w:ind w:right="-142"/>
        <w:rPr>
          <w:rFonts w:ascii="Arial" w:hAnsi="Arial" w:cs="Arial"/>
          <w:sz w:val="12"/>
          <w:szCs w:val="12"/>
        </w:rPr>
      </w:pPr>
      <w:bookmarkStart w:id="12" w:name="_GoBack"/>
      <w:bookmarkEnd w:id="12"/>
    </w:p>
    <w:sectPr w:rsidR="00F512A6" w:rsidRPr="00F512A6" w:rsidSect="00F512A6">
      <w:headerReference w:type="default" r:id="rId7"/>
      <w:footerReference w:type="default" r:id="rId8"/>
      <w:pgSz w:w="11906" w:h="16838" w:code="9"/>
      <w:pgMar w:top="1418" w:right="567" w:bottom="130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890" w:rsidRDefault="00A74890">
      <w:r>
        <w:separator/>
      </w:r>
    </w:p>
  </w:endnote>
  <w:endnote w:type="continuationSeparator" w:id="0">
    <w:p w:rsidR="00A74890" w:rsidRDefault="00A7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B6D" w:rsidRDefault="00CA6EA1" w:rsidP="008D4327">
    <w:pPr>
      <w:pStyle w:val="Pieddepage"/>
      <w:rPr>
        <w:rFonts w:ascii="Arial" w:hAnsi="Arial" w:cs="Arial"/>
        <w:sz w:val="20"/>
        <w:szCs w:val="20"/>
      </w:rPr>
    </w:pPr>
    <w:r>
      <w:rPr>
        <w:rFonts w:ascii="Arial" w:hAnsi="Arial" w:cs="Arial"/>
        <w:noProof/>
        <w:sz w:val="20"/>
        <w:szCs w:val="20"/>
      </w:rPr>
      <w:drawing>
        <wp:inline distT="0" distB="0" distL="0" distR="0">
          <wp:extent cx="7020000" cy="88461"/>
          <wp:effectExtent l="19050" t="0" r="945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7020000" cy="88461"/>
                  </a:xfrm>
                  <a:prstGeom prst="rect">
                    <a:avLst/>
                  </a:prstGeom>
                  <a:noFill/>
                  <a:ln w="9525">
                    <a:noFill/>
                    <a:miter lim="800000"/>
                    <a:headEnd/>
                    <a:tailEnd/>
                  </a:ln>
                </pic:spPr>
              </pic:pic>
            </a:graphicData>
          </a:graphic>
        </wp:inline>
      </w:drawing>
    </w:r>
  </w:p>
  <w:p w:rsidR="00C40D74" w:rsidRPr="008D4327" w:rsidRDefault="00D83459" w:rsidP="00853CB9">
    <w:pPr>
      <w:pStyle w:val="Pieddepage"/>
      <w:tabs>
        <w:tab w:val="clear" w:pos="4536"/>
        <w:tab w:val="clear" w:pos="9072"/>
        <w:tab w:val="right" w:pos="10772"/>
      </w:tabs>
      <w:spacing w:before="120"/>
      <w:rPr>
        <w:rFonts w:ascii="Arial" w:hAnsi="Arial" w:cs="Arial"/>
        <w:sz w:val="20"/>
        <w:szCs w:val="20"/>
      </w:rPr>
    </w:pPr>
    <w:r>
      <w:rPr>
        <w:rFonts w:ascii="Arial" w:hAnsi="Arial" w:cs="Arial"/>
        <w:sz w:val="20"/>
        <w:szCs w:val="20"/>
      </w:rPr>
      <w:t>LAB</w:t>
    </w:r>
    <w:r w:rsidR="008D4327" w:rsidRPr="008D4327">
      <w:rPr>
        <w:rFonts w:ascii="Arial" w:hAnsi="Arial" w:cs="Arial"/>
        <w:sz w:val="20"/>
        <w:szCs w:val="20"/>
      </w:rPr>
      <w:t xml:space="preserve"> </w:t>
    </w:r>
    <w:r w:rsidR="00070266">
      <w:rPr>
        <w:rFonts w:ascii="Arial" w:hAnsi="Arial" w:cs="Arial"/>
        <w:sz w:val="20"/>
        <w:szCs w:val="20"/>
      </w:rPr>
      <w:t xml:space="preserve">MR </w:t>
    </w:r>
    <w:r>
      <w:rPr>
        <w:rFonts w:ascii="Arial" w:hAnsi="Arial" w:cs="Arial"/>
        <w:sz w:val="20"/>
        <w:szCs w:val="20"/>
      </w:rPr>
      <w:t xml:space="preserve">FORM </w:t>
    </w:r>
    <w:r w:rsidR="00070266">
      <w:rPr>
        <w:rFonts w:ascii="Arial" w:hAnsi="Arial" w:cs="Arial"/>
        <w:sz w:val="20"/>
        <w:szCs w:val="20"/>
      </w:rPr>
      <w:t>03</w:t>
    </w:r>
    <w:r w:rsidR="008D4327" w:rsidRPr="008D4327">
      <w:rPr>
        <w:rFonts w:ascii="Arial" w:hAnsi="Arial" w:cs="Arial"/>
        <w:sz w:val="20"/>
        <w:szCs w:val="20"/>
      </w:rPr>
      <w:t xml:space="preserve"> – </w:t>
    </w:r>
    <w:r w:rsidR="00CA6EA1">
      <w:rPr>
        <w:rFonts w:ascii="Arial" w:hAnsi="Arial" w:cs="Arial"/>
        <w:sz w:val="20"/>
        <w:szCs w:val="20"/>
      </w:rPr>
      <w:t>Révision</w:t>
    </w:r>
    <w:r w:rsidR="008D4327" w:rsidRPr="008D4327">
      <w:rPr>
        <w:rFonts w:ascii="Arial" w:hAnsi="Arial" w:cs="Arial"/>
        <w:sz w:val="20"/>
        <w:szCs w:val="20"/>
      </w:rPr>
      <w:t xml:space="preserve"> </w:t>
    </w:r>
    <w:r w:rsidR="00070266">
      <w:rPr>
        <w:rFonts w:ascii="Arial" w:hAnsi="Arial" w:cs="Arial"/>
        <w:sz w:val="20"/>
        <w:szCs w:val="20"/>
      </w:rPr>
      <w:t>02</w:t>
    </w:r>
    <w:r w:rsidR="008D4327" w:rsidRPr="008D4327">
      <w:rPr>
        <w:rFonts w:ascii="Arial" w:hAnsi="Arial" w:cs="Arial"/>
        <w:sz w:val="20"/>
        <w:szCs w:val="20"/>
      </w:rPr>
      <w:t xml:space="preserve"> – Applicable le </w:t>
    </w:r>
    <w:r w:rsidR="00070266">
      <w:rPr>
        <w:rFonts w:ascii="Arial" w:hAnsi="Arial" w:cs="Arial"/>
        <w:sz w:val="20"/>
        <w:szCs w:val="20"/>
      </w:rPr>
      <w:t>01/11/2021</w:t>
    </w:r>
    <w:r w:rsidR="008D4327" w:rsidRPr="008D4327">
      <w:rPr>
        <w:rFonts w:ascii="Arial" w:hAnsi="Arial" w:cs="Arial"/>
        <w:sz w:val="20"/>
        <w:szCs w:val="20"/>
      </w:rPr>
      <w:tab/>
    </w:r>
    <w:r w:rsidR="00C40D74" w:rsidRPr="008D4327">
      <w:rPr>
        <w:rFonts w:ascii="Arial" w:hAnsi="Arial" w:cs="Arial"/>
        <w:sz w:val="20"/>
        <w:szCs w:val="20"/>
      </w:rPr>
      <w:t xml:space="preserve">Page </w:t>
    </w:r>
    <w:r w:rsidR="001E41E6" w:rsidRPr="008D4327">
      <w:rPr>
        <w:rFonts w:ascii="Arial" w:hAnsi="Arial" w:cs="Arial"/>
        <w:sz w:val="20"/>
        <w:szCs w:val="20"/>
      </w:rPr>
      <w:fldChar w:fldCharType="begin"/>
    </w:r>
    <w:r w:rsidR="00C40D74" w:rsidRPr="008D4327">
      <w:rPr>
        <w:rFonts w:ascii="Arial" w:hAnsi="Arial" w:cs="Arial"/>
        <w:sz w:val="20"/>
        <w:szCs w:val="20"/>
      </w:rPr>
      <w:instrText xml:space="preserve"> PAGE </w:instrText>
    </w:r>
    <w:r w:rsidR="001E41E6" w:rsidRPr="008D4327">
      <w:rPr>
        <w:rFonts w:ascii="Arial" w:hAnsi="Arial" w:cs="Arial"/>
        <w:sz w:val="20"/>
        <w:szCs w:val="20"/>
      </w:rPr>
      <w:fldChar w:fldCharType="separate"/>
    </w:r>
    <w:r w:rsidR="00584BDD">
      <w:rPr>
        <w:rFonts w:ascii="Arial" w:hAnsi="Arial" w:cs="Arial"/>
        <w:noProof/>
        <w:sz w:val="20"/>
        <w:szCs w:val="20"/>
      </w:rPr>
      <w:t>1</w:t>
    </w:r>
    <w:r w:rsidR="001E41E6" w:rsidRPr="008D4327">
      <w:rPr>
        <w:rFonts w:ascii="Arial" w:hAnsi="Arial" w:cs="Arial"/>
        <w:sz w:val="20"/>
        <w:szCs w:val="20"/>
      </w:rPr>
      <w:fldChar w:fldCharType="end"/>
    </w:r>
    <w:r w:rsidR="00C40D74" w:rsidRPr="008D4327">
      <w:rPr>
        <w:rFonts w:ascii="Arial" w:hAnsi="Arial" w:cs="Arial"/>
        <w:sz w:val="20"/>
        <w:szCs w:val="20"/>
      </w:rPr>
      <w:t>/</w:t>
    </w:r>
    <w:r w:rsidR="001E41E6" w:rsidRPr="008D4327">
      <w:rPr>
        <w:rFonts w:ascii="Arial" w:hAnsi="Arial" w:cs="Arial"/>
        <w:sz w:val="20"/>
        <w:szCs w:val="20"/>
      </w:rPr>
      <w:fldChar w:fldCharType="begin"/>
    </w:r>
    <w:r w:rsidR="00C40D74" w:rsidRPr="008D4327">
      <w:rPr>
        <w:rFonts w:ascii="Arial" w:hAnsi="Arial" w:cs="Arial"/>
        <w:sz w:val="20"/>
        <w:szCs w:val="20"/>
      </w:rPr>
      <w:instrText xml:space="preserve"> NUMPAGES </w:instrText>
    </w:r>
    <w:r w:rsidR="001E41E6" w:rsidRPr="008D4327">
      <w:rPr>
        <w:rFonts w:ascii="Arial" w:hAnsi="Arial" w:cs="Arial"/>
        <w:sz w:val="20"/>
        <w:szCs w:val="20"/>
      </w:rPr>
      <w:fldChar w:fldCharType="separate"/>
    </w:r>
    <w:r w:rsidR="00584BDD">
      <w:rPr>
        <w:rFonts w:ascii="Arial" w:hAnsi="Arial" w:cs="Arial"/>
        <w:noProof/>
        <w:sz w:val="20"/>
        <w:szCs w:val="20"/>
      </w:rPr>
      <w:t>1</w:t>
    </w:r>
    <w:r w:rsidR="001E41E6" w:rsidRPr="008D432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890" w:rsidRDefault="00A74890">
      <w:r>
        <w:separator/>
      </w:r>
    </w:p>
  </w:footnote>
  <w:footnote w:type="continuationSeparator" w:id="0">
    <w:p w:rsidR="00A74890" w:rsidRDefault="00A74890">
      <w:r>
        <w:continuationSeparator/>
      </w:r>
    </w:p>
  </w:footnote>
  <w:footnote w:id="1">
    <w:p w:rsidR="00C94663" w:rsidRDefault="00C94663" w:rsidP="00C94663">
      <w:pPr>
        <w:pStyle w:val="Notedebasdepage"/>
      </w:pPr>
      <w:r>
        <w:rPr>
          <w:rStyle w:val="Appelnotedebasdep"/>
        </w:rPr>
        <w:footnoteRef/>
      </w:r>
      <w:r>
        <w:t xml:space="preserve"> Désignation de l’organisme tel que défini au 1.1 du LAB FORM 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7632"/>
      <w:gridCol w:w="1754"/>
    </w:tblGrid>
    <w:tr w:rsidR="00C40D74" w:rsidTr="00CA6EA1">
      <w:trPr>
        <w:trHeight w:val="1602"/>
        <w:jc w:val="center"/>
      </w:trPr>
      <w:tc>
        <w:tcPr>
          <w:tcW w:w="1494" w:type="dxa"/>
          <w:vAlign w:val="center"/>
        </w:tcPr>
        <w:p w:rsidR="00C40D74" w:rsidRDefault="00C40D74" w:rsidP="00853CB9">
          <w:pPr>
            <w:pStyle w:val="En-tte"/>
            <w:spacing w:before="60"/>
            <w:rPr>
              <w:b/>
              <w:bCs/>
              <w:i/>
              <w:sz w:val="12"/>
            </w:rPr>
          </w:pPr>
          <w:r w:rsidRPr="00306F98">
            <w:rPr>
              <w:b/>
              <w:bCs/>
            </w:rPr>
            <w:object w:dxaOrig="1140" w:dyaOrig="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83.5pt">
                <v:imagedata r:id="rId1" o:title=""/>
              </v:shape>
              <o:OLEObject Type="Embed" ProgID="Word.Picture.8" ShapeID="_x0000_i1025" DrawAspect="Content" ObjectID="_1696920017" r:id="rId2"/>
            </w:object>
          </w:r>
        </w:p>
      </w:tc>
      <w:tc>
        <w:tcPr>
          <w:tcW w:w="7632" w:type="dxa"/>
          <w:vAlign w:val="center"/>
        </w:tcPr>
        <w:p w:rsidR="00C94663" w:rsidRDefault="00C94663" w:rsidP="00C94663">
          <w:pPr>
            <w:tabs>
              <w:tab w:val="left" w:pos="7655"/>
            </w:tabs>
            <w:jc w:val="center"/>
            <w:rPr>
              <w:rFonts w:ascii="Arial" w:hAnsi="Arial" w:cs="Arial"/>
              <w:b/>
              <w:noProof/>
              <w:sz w:val="32"/>
              <w:szCs w:val="32"/>
            </w:rPr>
          </w:pPr>
          <w:r>
            <w:rPr>
              <w:rFonts w:ascii="Arial" w:hAnsi="Arial" w:cs="Arial"/>
              <w:b/>
              <w:noProof/>
              <w:sz w:val="32"/>
              <w:szCs w:val="32"/>
            </w:rPr>
            <w:t>Prise en compte des exigences pour l’accréditation suivant la norme</w:t>
          </w:r>
        </w:p>
        <w:p w:rsidR="00C40D74" w:rsidRPr="008D4327" w:rsidRDefault="00C94663" w:rsidP="00C94663">
          <w:pPr>
            <w:pStyle w:val="En-tte"/>
            <w:tabs>
              <w:tab w:val="left" w:pos="375"/>
              <w:tab w:val="center" w:pos="2450"/>
            </w:tabs>
            <w:jc w:val="center"/>
            <w:rPr>
              <w:rFonts w:ascii="Arial" w:hAnsi="Arial" w:cs="Arial"/>
              <w:b/>
              <w:bCs/>
              <w:sz w:val="32"/>
            </w:rPr>
          </w:pPr>
          <w:r>
            <w:rPr>
              <w:rFonts w:ascii="Arial" w:hAnsi="Arial" w:cs="Arial"/>
              <w:b/>
              <w:noProof/>
              <w:sz w:val="32"/>
              <w:szCs w:val="32"/>
            </w:rPr>
            <w:t>NF EN ISO 17034:2016</w:t>
          </w:r>
        </w:p>
      </w:tc>
      <w:tc>
        <w:tcPr>
          <w:tcW w:w="1754" w:type="dxa"/>
          <w:vAlign w:val="center"/>
        </w:tcPr>
        <w:p w:rsidR="00C40D74" w:rsidRDefault="00584BDD">
          <w:pPr>
            <w:pStyle w:val="En-tte"/>
            <w:rPr>
              <w:b/>
              <w:bCs/>
              <w:iCs/>
              <w:sz w:val="28"/>
            </w:rPr>
          </w:pPr>
          <w:r>
            <w:rPr>
              <w:b/>
              <w:bCs/>
              <w:noProof/>
              <w:sz w:val="20"/>
            </w:rPr>
            <w:drawing>
              <wp:anchor distT="0" distB="0" distL="0" distR="0" simplePos="0" relativeHeight="251660288" behindDoc="1" locked="0" layoutInCell="1" allowOverlap="1">
                <wp:simplePos x="0" y="0"/>
                <wp:positionH relativeFrom="column">
                  <wp:posOffset>163830</wp:posOffset>
                </wp:positionH>
                <wp:positionV relativeFrom="paragraph">
                  <wp:posOffset>-67945</wp:posOffset>
                </wp:positionV>
                <wp:extent cx="657860" cy="698500"/>
                <wp:effectExtent l="19050" t="0" r="8890" b="0"/>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cstate="print"/>
                        <a:srcRect l="52345" r="26572"/>
                        <a:stretch>
                          <a:fillRect/>
                        </a:stretch>
                      </pic:blipFill>
                      <pic:spPr bwMode="auto">
                        <a:xfrm>
                          <a:off x="0" y="0"/>
                          <a:ext cx="657860" cy="698500"/>
                        </a:xfrm>
                        <a:prstGeom prst="rect">
                          <a:avLst/>
                        </a:prstGeom>
                        <a:solidFill>
                          <a:srgbClr val="FFFFFF"/>
                        </a:solidFill>
                      </pic:spPr>
                    </pic:pic>
                  </a:graphicData>
                </a:graphic>
              </wp:anchor>
            </w:drawing>
          </w:r>
          <w:r w:rsidR="00952CBF">
            <w:rPr>
              <w:b/>
              <w:bCs/>
              <w:noProof/>
              <w:sz w:val="20"/>
            </w:rPr>
            <w:drawing>
              <wp:anchor distT="0" distB="0" distL="0" distR="0" simplePos="0" relativeHeight="251657216" behindDoc="1" locked="0" layoutInCell="1" allowOverlap="1">
                <wp:simplePos x="0" y="0"/>
                <wp:positionH relativeFrom="column">
                  <wp:posOffset>5910580</wp:posOffset>
                </wp:positionH>
                <wp:positionV relativeFrom="paragraph">
                  <wp:posOffset>8555355</wp:posOffset>
                </wp:positionV>
                <wp:extent cx="452120" cy="476250"/>
                <wp:effectExtent l="19050" t="0" r="508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l="52345" r="26572"/>
                        <a:stretch>
                          <a:fillRect/>
                        </a:stretch>
                      </pic:blipFill>
                      <pic:spPr bwMode="auto">
                        <a:xfrm>
                          <a:off x="0" y="0"/>
                          <a:ext cx="452120" cy="476250"/>
                        </a:xfrm>
                        <a:prstGeom prst="rect">
                          <a:avLst/>
                        </a:prstGeom>
                        <a:solidFill>
                          <a:srgbClr val="FFFFFF"/>
                        </a:solidFill>
                      </pic:spPr>
                    </pic:pic>
                  </a:graphicData>
                </a:graphic>
              </wp:anchor>
            </w:drawing>
          </w:r>
        </w:p>
      </w:tc>
    </w:tr>
  </w:tbl>
  <w:p w:rsidR="00C40D74" w:rsidRPr="003C50DF" w:rsidRDefault="00C40D74">
    <w:pPr>
      <w:pStyle w:val="En-tte"/>
      <w:rPr>
        <w:rFonts w:ascii="Arial" w:hAnsi="Arial"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0EFD"/>
    <w:multiLevelType w:val="multilevel"/>
    <w:tmpl w:val="A86EF9A2"/>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8D72F50"/>
    <w:multiLevelType w:val="hybridMultilevel"/>
    <w:tmpl w:val="B9184CC8"/>
    <w:lvl w:ilvl="0" w:tplc="040C0005">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24AE5E56"/>
    <w:multiLevelType w:val="hybridMultilevel"/>
    <w:tmpl w:val="906AD384"/>
    <w:lvl w:ilvl="0" w:tplc="A5F2D3D6">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86B5667"/>
    <w:multiLevelType w:val="hybridMultilevel"/>
    <w:tmpl w:val="D5662CC6"/>
    <w:lvl w:ilvl="0" w:tplc="040C0005">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31E25A2F"/>
    <w:multiLevelType w:val="multilevel"/>
    <w:tmpl w:val="D1346AAC"/>
    <w:lvl w:ilvl="0">
      <w:start w:val="1"/>
      <w:numFmt w:val="decimal"/>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color w:val="auto"/>
        <w:sz w:val="28"/>
        <w:vertAlign w:val="baseline"/>
      </w:rPr>
    </w:lvl>
    <w:lvl w:ilvl="1">
      <w:start w:val="1"/>
      <w:numFmt w:val="decimal"/>
      <w:lvlText w:val="%1.%2"/>
      <w:lvlJc w:val="left"/>
      <w:pPr>
        <w:tabs>
          <w:tab w:val="num" w:pos="576"/>
        </w:tabs>
        <w:ind w:left="576" w:hanging="576"/>
      </w:pPr>
      <w:rPr>
        <w:rFonts w:ascii="Times New Roman" w:hAnsi="Times New Roman" w:hint="default"/>
        <w:b/>
        <w:i w:val="0"/>
        <w:caps w:val="0"/>
        <w:strike w:val="0"/>
        <w:dstrike w:val="0"/>
        <w:outline w:val="0"/>
        <w:shadow w:val="0"/>
        <w:emboss w:val="0"/>
        <w:imprint w:val="0"/>
        <w:vanish w:val="0"/>
        <w:color w:val="auto"/>
        <w:sz w:val="24"/>
        <w:vertAlign w:val="baseline"/>
      </w:rPr>
    </w:lvl>
    <w:lvl w:ilvl="2">
      <w:start w:val="1"/>
      <w:numFmt w:val="decimal"/>
      <w:lvlText w:val="%1.%2.%3"/>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color w:val="auto"/>
        <w:sz w:val="24"/>
        <w:u w:val="single"/>
        <w:vertAlign w:val="baseline"/>
      </w:rPr>
    </w:lvl>
    <w:lvl w:ilvl="3">
      <w:start w:val="1"/>
      <w:numFmt w:val="decimal"/>
      <w:lvlText w:val="%1.%2.%3.%4"/>
      <w:lvlJc w:val="left"/>
      <w:pPr>
        <w:tabs>
          <w:tab w:val="num" w:pos="864"/>
        </w:tabs>
        <w:ind w:left="864" w:hanging="864"/>
      </w:pPr>
      <w:rPr>
        <w:rFonts w:ascii="Times New Roman" w:hAnsi="Times New Roman" w:hint="default"/>
        <w:b w:val="0"/>
        <w:i/>
        <w:caps w:val="0"/>
        <w:strike w:val="0"/>
        <w:dstrike w:val="0"/>
        <w:outline w:val="0"/>
        <w:shadow w:val="0"/>
        <w:emboss w:val="0"/>
        <w:imprint w:val="0"/>
        <w:vanish w:val="0"/>
        <w:sz w:val="24"/>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9703461"/>
    <w:multiLevelType w:val="hybridMultilevel"/>
    <w:tmpl w:val="6B9A8048"/>
    <w:lvl w:ilvl="0" w:tplc="1E7E4E06">
      <w:start w:val="1"/>
      <w:numFmt w:val="bullet"/>
      <w:lvlText w:val="-"/>
      <w:lvlJc w:val="left"/>
      <w:pPr>
        <w:ind w:left="720" w:hanging="360"/>
      </w:pPr>
      <w:rPr>
        <w:rFonts w:ascii="Arial" w:hAnsi="Arial"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91C7A86"/>
    <w:multiLevelType w:val="hybridMultilevel"/>
    <w:tmpl w:val="89D05FF4"/>
    <w:lvl w:ilvl="0" w:tplc="76561D4A">
      <w:numFmt w:val="bullet"/>
      <w:lvlText w:val="-"/>
      <w:lvlJc w:val="left"/>
      <w:pPr>
        <w:tabs>
          <w:tab w:val="num" w:pos="3229"/>
        </w:tabs>
        <w:ind w:left="3229" w:hanging="360"/>
      </w:pPr>
      <w:rPr>
        <w:rFonts w:ascii="Times New Roman" w:eastAsia="Times New Roman" w:hAnsi="Times New Roman" w:cs="Times New Roman"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4DBE446D"/>
    <w:multiLevelType w:val="hybridMultilevel"/>
    <w:tmpl w:val="9506B5D0"/>
    <w:lvl w:ilvl="0" w:tplc="6A00E850">
      <w:start w:val="27"/>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D75914"/>
    <w:multiLevelType w:val="hybridMultilevel"/>
    <w:tmpl w:val="514E984C"/>
    <w:lvl w:ilvl="0" w:tplc="76561D4A">
      <w:numFmt w:val="bullet"/>
      <w:lvlText w:val="-"/>
      <w:lvlJc w:val="left"/>
      <w:pPr>
        <w:tabs>
          <w:tab w:val="num" w:pos="3229"/>
        </w:tabs>
        <w:ind w:left="3229" w:hanging="360"/>
      </w:pPr>
      <w:rPr>
        <w:rFonts w:ascii="Times New Roman" w:eastAsia="Times New Roman" w:hAnsi="Times New Roman" w:cs="Times New Roman"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677B1B5D"/>
    <w:multiLevelType w:val="hybridMultilevel"/>
    <w:tmpl w:val="0F5EEFF2"/>
    <w:lvl w:ilvl="0" w:tplc="FF3EB0B2">
      <w:start w:val="1"/>
      <w:numFmt w:val="bullet"/>
      <w:pStyle w:val="Style1"/>
      <w:lvlText w:val=""/>
      <w:lvlJc w:val="left"/>
      <w:pPr>
        <w:tabs>
          <w:tab w:val="num" w:pos="3229"/>
        </w:tabs>
        <w:ind w:left="3229" w:hanging="360"/>
      </w:pPr>
      <w:rPr>
        <w:rFonts w:ascii="Symbol" w:hAnsi="Symbol"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68316216"/>
    <w:multiLevelType w:val="hybridMultilevel"/>
    <w:tmpl w:val="5046DCFE"/>
    <w:lvl w:ilvl="0" w:tplc="040C000D">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779E4C56"/>
    <w:multiLevelType w:val="hybridMultilevel"/>
    <w:tmpl w:val="93E683AC"/>
    <w:lvl w:ilvl="0" w:tplc="3C3E85A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2" w15:restartNumberingAfterBreak="0">
    <w:nsid w:val="79EF14B5"/>
    <w:multiLevelType w:val="hybridMultilevel"/>
    <w:tmpl w:val="F26E287E"/>
    <w:lvl w:ilvl="0" w:tplc="EE664ECC">
      <w:start w:val="1"/>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8"/>
  </w:num>
  <w:num w:numId="17">
    <w:abstractNumId w:val="1"/>
  </w:num>
  <w:num w:numId="18">
    <w:abstractNumId w:val="3"/>
  </w:num>
  <w:num w:numId="19">
    <w:abstractNumId w:val="11"/>
  </w:num>
  <w:num w:numId="20">
    <w:abstractNumId w:val="5"/>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30CE5"/>
    <w:rsid w:val="00070266"/>
    <w:rsid w:val="00152094"/>
    <w:rsid w:val="00176B6A"/>
    <w:rsid w:val="00181061"/>
    <w:rsid w:val="001E0945"/>
    <w:rsid w:val="001E41E6"/>
    <w:rsid w:val="00230CE5"/>
    <w:rsid w:val="00306F98"/>
    <w:rsid w:val="0034321B"/>
    <w:rsid w:val="003B7B95"/>
    <w:rsid w:val="003C50DF"/>
    <w:rsid w:val="003E3FBD"/>
    <w:rsid w:val="00487FD9"/>
    <w:rsid w:val="004B2481"/>
    <w:rsid w:val="005617A5"/>
    <w:rsid w:val="00584BDD"/>
    <w:rsid w:val="0058588E"/>
    <w:rsid w:val="005A6964"/>
    <w:rsid w:val="00647791"/>
    <w:rsid w:val="00680230"/>
    <w:rsid w:val="00817166"/>
    <w:rsid w:val="00832CB7"/>
    <w:rsid w:val="00853CB9"/>
    <w:rsid w:val="008C4FFB"/>
    <w:rsid w:val="008D4327"/>
    <w:rsid w:val="00952CBF"/>
    <w:rsid w:val="009A551A"/>
    <w:rsid w:val="009F7511"/>
    <w:rsid w:val="00A34F76"/>
    <w:rsid w:val="00A74890"/>
    <w:rsid w:val="00AA5EAE"/>
    <w:rsid w:val="00C40D74"/>
    <w:rsid w:val="00C45D14"/>
    <w:rsid w:val="00C94663"/>
    <w:rsid w:val="00CA6EA1"/>
    <w:rsid w:val="00D83459"/>
    <w:rsid w:val="00DA02C1"/>
    <w:rsid w:val="00E43A19"/>
    <w:rsid w:val="00E93D13"/>
    <w:rsid w:val="00EB11B1"/>
    <w:rsid w:val="00F25B6D"/>
    <w:rsid w:val="00F30BA5"/>
    <w:rsid w:val="00F512A6"/>
    <w:rsid w:val="00FE7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6B3D4"/>
  <w15:docId w15:val="{D9D32B59-CF74-4921-ADB1-58C37A66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F98"/>
    <w:rPr>
      <w:sz w:val="24"/>
      <w:szCs w:val="24"/>
    </w:rPr>
  </w:style>
  <w:style w:type="paragraph" w:styleId="Titre1">
    <w:name w:val="heading 1"/>
    <w:basedOn w:val="Normal"/>
    <w:next w:val="Normal"/>
    <w:autoRedefine/>
    <w:qFormat/>
    <w:rsid w:val="00306F98"/>
    <w:pPr>
      <w:keepNext/>
      <w:numPr>
        <w:numId w:val="11"/>
      </w:numPr>
      <w:autoSpaceDE w:val="0"/>
      <w:autoSpaceDN w:val="0"/>
      <w:adjustRightInd w:val="0"/>
      <w:jc w:val="both"/>
      <w:outlineLvl w:val="0"/>
    </w:pPr>
    <w:rPr>
      <w:b/>
      <w:bCs/>
      <w:caps/>
      <w:color w:val="000000"/>
      <w:sz w:val="28"/>
      <w:szCs w:val="40"/>
    </w:rPr>
  </w:style>
  <w:style w:type="paragraph" w:styleId="Titre2">
    <w:name w:val="heading 2"/>
    <w:basedOn w:val="Normal"/>
    <w:next w:val="Normal"/>
    <w:autoRedefine/>
    <w:qFormat/>
    <w:rsid w:val="008C4FFB"/>
    <w:pPr>
      <w:keepNext/>
      <w:spacing w:before="360" w:after="120"/>
      <w:ind w:left="578" w:hanging="578"/>
      <w:jc w:val="both"/>
      <w:outlineLvl w:val="1"/>
    </w:pPr>
    <w:rPr>
      <w:rFonts w:ascii="Times" w:hAnsi="Times"/>
      <w:b/>
      <w:sz w:val="28"/>
      <w:szCs w:val="20"/>
      <w:u w:val="single"/>
    </w:rPr>
  </w:style>
  <w:style w:type="paragraph" w:styleId="Titre3">
    <w:name w:val="heading 3"/>
    <w:basedOn w:val="Normal"/>
    <w:next w:val="Normal"/>
    <w:autoRedefine/>
    <w:qFormat/>
    <w:rsid w:val="00306F98"/>
    <w:pPr>
      <w:keepNext/>
      <w:numPr>
        <w:ilvl w:val="2"/>
        <w:numId w:val="11"/>
      </w:numPr>
      <w:spacing w:before="120"/>
      <w:outlineLvl w:val="2"/>
    </w:pPr>
    <w:rPr>
      <w:rFonts w:cs="Arial"/>
      <w:bCs/>
      <w:szCs w:val="26"/>
      <w:u w:val="single"/>
    </w:rPr>
  </w:style>
  <w:style w:type="paragraph" w:styleId="Titre4">
    <w:name w:val="heading 4"/>
    <w:basedOn w:val="Normal"/>
    <w:next w:val="Normal"/>
    <w:qFormat/>
    <w:rsid w:val="00306F98"/>
    <w:pPr>
      <w:keepNext/>
      <w:numPr>
        <w:ilvl w:val="3"/>
        <w:numId w:val="11"/>
      </w:numPr>
      <w:jc w:val="center"/>
      <w:outlineLvl w:val="3"/>
    </w:pPr>
    <w:rPr>
      <w:bCs/>
      <w:i/>
    </w:rPr>
  </w:style>
  <w:style w:type="paragraph" w:styleId="Titre5">
    <w:name w:val="heading 5"/>
    <w:basedOn w:val="Normal"/>
    <w:next w:val="Normal"/>
    <w:qFormat/>
    <w:rsid w:val="00306F98"/>
    <w:pPr>
      <w:keepNext/>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306F98"/>
    <w:pPr>
      <w:tabs>
        <w:tab w:val="center" w:pos="4536"/>
        <w:tab w:val="right" w:pos="9072"/>
      </w:tabs>
    </w:pPr>
  </w:style>
  <w:style w:type="paragraph" w:styleId="Pieddepage">
    <w:name w:val="footer"/>
    <w:basedOn w:val="Normal"/>
    <w:semiHidden/>
    <w:rsid w:val="00306F98"/>
    <w:pPr>
      <w:tabs>
        <w:tab w:val="center" w:pos="4536"/>
        <w:tab w:val="right" w:pos="9072"/>
      </w:tabs>
    </w:pPr>
  </w:style>
  <w:style w:type="paragraph" w:styleId="Titre">
    <w:name w:val="Title"/>
    <w:basedOn w:val="Normal"/>
    <w:qFormat/>
    <w:rsid w:val="00306F98"/>
    <w:pPr>
      <w:spacing w:before="240" w:after="60"/>
      <w:jc w:val="center"/>
      <w:outlineLvl w:val="0"/>
    </w:pPr>
    <w:rPr>
      <w:rFonts w:cs="Arial"/>
      <w:b/>
      <w:bCs/>
      <w:kern w:val="28"/>
      <w:sz w:val="40"/>
      <w:szCs w:val="32"/>
    </w:rPr>
  </w:style>
  <w:style w:type="paragraph" w:styleId="Corpsdetexte">
    <w:name w:val="Body Text"/>
    <w:basedOn w:val="Normal"/>
    <w:semiHidden/>
    <w:rsid w:val="00306F98"/>
    <w:pPr>
      <w:overflowPunct w:val="0"/>
      <w:autoSpaceDE w:val="0"/>
      <w:autoSpaceDN w:val="0"/>
      <w:adjustRightInd w:val="0"/>
      <w:jc w:val="both"/>
      <w:textAlignment w:val="baseline"/>
    </w:pPr>
    <w:rPr>
      <w:szCs w:val="20"/>
    </w:rPr>
  </w:style>
  <w:style w:type="character" w:customStyle="1" w:styleId="Style1Car">
    <w:name w:val="Style1 Car"/>
    <w:basedOn w:val="Policepardfaut"/>
    <w:link w:val="Style1"/>
    <w:locked/>
    <w:rsid w:val="008C4FFB"/>
    <w:rPr>
      <w:sz w:val="24"/>
      <w:szCs w:val="24"/>
    </w:rPr>
  </w:style>
  <w:style w:type="paragraph" w:customStyle="1" w:styleId="Style1">
    <w:name w:val="Style1"/>
    <w:basedOn w:val="Retraitcorpsdetexte2"/>
    <w:link w:val="Style1Car"/>
    <w:qFormat/>
    <w:rsid w:val="008C4FFB"/>
    <w:pPr>
      <w:numPr>
        <w:numId w:val="12"/>
      </w:numPr>
      <w:tabs>
        <w:tab w:val="clear" w:pos="3229"/>
      </w:tabs>
      <w:ind w:left="283" w:firstLine="0"/>
    </w:pPr>
  </w:style>
  <w:style w:type="paragraph" w:styleId="Retraitcorpsdetexte2">
    <w:name w:val="Body Text Indent 2"/>
    <w:basedOn w:val="Normal"/>
    <w:link w:val="Retraitcorpsdetexte2Car"/>
    <w:uiPriority w:val="99"/>
    <w:semiHidden/>
    <w:unhideWhenUsed/>
    <w:rsid w:val="008C4FF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C4FFB"/>
    <w:rPr>
      <w:sz w:val="24"/>
      <w:szCs w:val="24"/>
    </w:rPr>
  </w:style>
  <w:style w:type="paragraph" w:styleId="En-ttedetabledesmatires">
    <w:name w:val="TOC Heading"/>
    <w:basedOn w:val="Titre1"/>
    <w:next w:val="Normal"/>
    <w:uiPriority w:val="39"/>
    <w:semiHidden/>
    <w:unhideWhenUsed/>
    <w:qFormat/>
    <w:rsid w:val="00F25B6D"/>
    <w:pPr>
      <w:keepLines/>
      <w:numPr>
        <w:numId w:val="0"/>
      </w:numPr>
      <w:autoSpaceDE/>
      <w:autoSpaceDN/>
      <w:adjustRightInd/>
      <w:spacing w:before="480" w:line="276" w:lineRule="auto"/>
      <w:jc w:val="left"/>
      <w:outlineLvl w:val="9"/>
    </w:pPr>
    <w:rPr>
      <w:rFonts w:ascii="Cambria" w:hAnsi="Cambria"/>
      <w:caps w:val="0"/>
      <w:color w:val="365F91"/>
      <w:szCs w:val="28"/>
      <w:lang w:eastAsia="en-US"/>
    </w:rPr>
  </w:style>
  <w:style w:type="paragraph" w:styleId="TM1">
    <w:name w:val="toc 1"/>
    <w:basedOn w:val="Normal"/>
    <w:next w:val="Normal"/>
    <w:autoRedefine/>
    <w:uiPriority w:val="39"/>
    <w:unhideWhenUsed/>
    <w:rsid w:val="00F25B6D"/>
  </w:style>
  <w:style w:type="character" w:styleId="Lienhypertexte">
    <w:name w:val="Hyperlink"/>
    <w:basedOn w:val="Policepardfaut"/>
    <w:uiPriority w:val="99"/>
    <w:unhideWhenUsed/>
    <w:rsid w:val="00F25B6D"/>
    <w:rPr>
      <w:color w:val="0000FF"/>
      <w:u w:val="single"/>
    </w:rPr>
  </w:style>
  <w:style w:type="paragraph" w:styleId="Textedebulles">
    <w:name w:val="Balloon Text"/>
    <w:basedOn w:val="Normal"/>
    <w:link w:val="TextedebullesCar"/>
    <w:uiPriority w:val="99"/>
    <w:semiHidden/>
    <w:unhideWhenUsed/>
    <w:rsid w:val="00952CBF"/>
    <w:rPr>
      <w:rFonts w:ascii="Tahoma" w:hAnsi="Tahoma" w:cs="Tahoma"/>
      <w:sz w:val="16"/>
      <w:szCs w:val="16"/>
    </w:rPr>
  </w:style>
  <w:style w:type="character" w:customStyle="1" w:styleId="TextedebullesCar">
    <w:name w:val="Texte de bulles Car"/>
    <w:basedOn w:val="Policepardfaut"/>
    <w:link w:val="Textedebulles"/>
    <w:uiPriority w:val="99"/>
    <w:semiHidden/>
    <w:rsid w:val="00952CBF"/>
    <w:rPr>
      <w:rFonts w:ascii="Tahoma" w:hAnsi="Tahoma" w:cs="Tahoma"/>
      <w:sz w:val="16"/>
      <w:szCs w:val="16"/>
    </w:rPr>
  </w:style>
  <w:style w:type="paragraph" w:styleId="Notedebasdepage">
    <w:name w:val="footnote text"/>
    <w:basedOn w:val="Normal"/>
    <w:link w:val="NotedebasdepageCar"/>
    <w:uiPriority w:val="99"/>
    <w:semiHidden/>
    <w:unhideWhenUsed/>
    <w:rsid w:val="00C94663"/>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semiHidden/>
    <w:rsid w:val="00C94663"/>
    <w:rPr>
      <w:rFonts w:ascii="Calibri" w:eastAsia="Calibri" w:hAnsi="Calibri"/>
      <w:lang w:eastAsia="en-US"/>
    </w:rPr>
  </w:style>
  <w:style w:type="character" w:styleId="Appelnotedebasdep">
    <w:name w:val="footnote reference"/>
    <w:basedOn w:val="Policepardfaut"/>
    <w:uiPriority w:val="99"/>
    <w:semiHidden/>
    <w:unhideWhenUsed/>
    <w:rsid w:val="00C94663"/>
    <w:rPr>
      <w:vertAlign w:val="superscript"/>
    </w:rPr>
  </w:style>
  <w:style w:type="table" w:styleId="Grilledutableau">
    <w:name w:val="Table Grid"/>
    <w:basedOn w:val="TableauNormal"/>
    <w:uiPriority w:val="59"/>
    <w:rsid w:val="00C94663"/>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569348">
      <w:bodyDiv w:val="1"/>
      <w:marLeft w:val="0"/>
      <w:marRight w:val="0"/>
      <w:marTop w:val="0"/>
      <w:marBottom w:val="0"/>
      <w:divBdr>
        <w:top w:val="none" w:sz="0" w:space="0" w:color="auto"/>
        <w:left w:val="none" w:sz="0" w:space="0" w:color="auto"/>
        <w:bottom w:val="none" w:sz="0" w:space="0" w:color="auto"/>
        <w:right w:val="none" w:sz="0" w:space="0" w:color="auto"/>
      </w:divBdr>
    </w:div>
    <w:div w:id="1469586384">
      <w:bodyDiv w:val="1"/>
      <w:marLeft w:val="0"/>
      <w:marRight w:val="0"/>
      <w:marTop w:val="0"/>
      <w:marBottom w:val="0"/>
      <w:divBdr>
        <w:top w:val="none" w:sz="0" w:space="0" w:color="auto"/>
        <w:left w:val="none" w:sz="0" w:space="0" w:color="auto"/>
        <w:bottom w:val="none" w:sz="0" w:space="0" w:color="auto"/>
        <w:right w:val="none" w:sz="0" w:space="0" w:color="auto"/>
      </w:divBdr>
    </w:div>
    <w:div w:id="19061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I\AppData\Local\Temp\ObsysNET\20211027163412\LAB%20MR%20FORM%200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LAB MR FORM 03</Template>
  <TotalTime>63</TotalTime>
  <Pages>6</Pages>
  <Words>2013</Words>
  <Characters>11073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Type de demande :</vt:lpstr>
    </vt:vector>
  </TitlesOfParts>
  <Company>cofrac</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demande :</dc:title>
  <dc:creator>FBI</dc:creator>
  <cp:lastModifiedBy>Fabienne BILLON</cp:lastModifiedBy>
  <cp:revision>7</cp:revision>
  <cp:lastPrinted>2007-10-03T13:58:00Z</cp:lastPrinted>
  <dcterms:created xsi:type="dcterms:W3CDTF">2021-10-27T14:44:00Z</dcterms:created>
  <dcterms:modified xsi:type="dcterms:W3CDTF">2021-10-28T07:54:00Z</dcterms:modified>
</cp:coreProperties>
</file>